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C255" w14:textId="77777777" w:rsidR="00CD325A" w:rsidRPr="000E460C" w:rsidRDefault="00CD325A" w:rsidP="0094232F">
      <w:pPr>
        <w:widowControl w:val="0"/>
        <w:autoSpaceDE w:val="0"/>
        <w:autoSpaceDN w:val="0"/>
        <w:adjustRightInd w:val="0"/>
        <w:spacing w:after="240"/>
        <w:jc w:val="center"/>
        <w:rPr>
          <w:rFonts w:ascii="Times New Roman" w:hAnsi="Times New Roman" w:cs="Times New Roman"/>
          <w:color w:val="000000"/>
          <w:sz w:val="32"/>
          <w:szCs w:val="32"/>
          <w:lang w:val="en-US"/>
        </w:rPr>
      </w:pPr>
      <w:r w:rsidRPr="000E460C">
        <w:rPr>
          <w:rFonts w:ascii="Times New Roman" w:hAnsi="Times New Roman" w:cs="Times New Roman"/>
          <w:color w:val="000000"/>
          <w:sz w:val="32"/>
          <w:szCs w:val="32"/>
          <w:lang w:val="en-US"/>
        </w:rPr>
        <w:t>Diversity and Performance:</w:t>
      </w:r>
    </w:p>
    <w:p w14:paraId="3BFC0197" w14:textId="21A2F8F8" w:rsidR="00F211EB" w:rsidRPr="000E460C" w:rsidRDefault="00F211EB" w:rsidP="0094232F">
      <w:pPr>
        <w:widowControl w:val="0"/>
        <w:autoSpaceDE w:val="0"/>
        <w:autoSpaceDN w:val="0"/>
        <w:adjustRightInd w:val="0"/>
        <w:spacing w:after="240"/>
        <w:jc w:val="center"/>
        <w:rPr>
          <w:rFonts w:ascii="Times New Roman" w:hAnsi="Times New Roman" w:cs="Times New Roman"/>
          <w:color w:val="000000"/>
          <w:sz w:val="32"/>
          <w:szCs w:val="32"/>
          <w:lang w:val="en-US"/>
        </w:rPr>
      </w:pPr>
      <w:r w:rsidRPr="000E460C">
        <w:rPr>
          <w:rFonts w:ascii="Times New Roman" w:hAnsi="Times New Roman" w:cs="Times New Roman"/>
          <w:color w:val="000000"/>
          <w:sz w:val="32"/>
          <w:szCs w:val="32"/>
          <w:lang w:val="en-US"/>
        </w:rPr>
        <w:t>Networks of Cognition in Markets and Teams</w:t>
      </w:r>
    </w:p>
    <w:p w14:paraId="3EFD9776" w14:textId="77777777" w:rsidR="00956709" w:rsidRDefault="00956709" w:rsidP="00956709">
      <w:pPr>
        <w:widowControl w:val="0"/>
        <w:autoSpaceDE w:val="0"/>
        <w:autoSpaceDN w:val="0"/>
        <w:adjustRightInd w:val="0"/>
        <w:spacing w:after="240" w:line="276" w:lineRule="auto"/>
        <w:jc w:val="center"/>
        <w:rPr>
          <w:rFonts w:ascii="Times New Roman" w:hAnsi="Times New Roman" w:cs="Times New Roman"/>
          <w:bCs/>
          <w:color w:val="000000"/>
          <w:lang w:val="en-US"/>
        </w:rPr>
      </w:pPr>
    </w:p>
    <w:p w14:paraId="250EB0D0" w14:textId="1A555435" w:rsidR="00746200" w:rsidRPr="000E460C" w:rsidRDefault="00F211EB" w:rsidP="00792A2A">
      <w:pPr>
        <w:widowControl w:val="0"/>
        <w:autoSpaceDE w:val="0"/>
        <w:autoSpaceDN w:val="0"/>
        <w:adjustRightInd w:val="0"/>
        <w:spacing w:after="120" w:line="480" w:lineRule="auto"/>
        <w:ind w:firstLine="567"/>
        <w:jc w:val="both"/>
        <w:rPr>
          <w:rFonts w:ascii="Times New Roman" w:hAnsi="Times New Roman" w:cs="Times New Roman"/>
          <w:color w:val="000000"/>
          <w:lang w:val="en-US"/>
        </w:rPr>
      </w:pPr>
      <w:r w:rsidRPr="000E460C">
        <w:rPr>
          <w:rFonts w:ascii="Times New Roman" w:hAnsi="Times New Roman" w:cs="Times New Roman"/>
          <w:color w:val="000000"/>
          <w:lang w:val="en-US"/>
        </w:rPr>
        <w:t xml:space="preserve">Contemporary organizations face </w:t>
      </w:r>
      <w:r w:rsidR="0070402D" w:rsidRPr="000E460C">
        <w:rPr>
          <w:rFonts w:ascii="Times New Roman" w:hAnsi="Times New Roman" w:cs="Times New Roman"/>
          <w:color w:val="000000"/>
          <w:lang w:val="en-US"/>
        </w:rPr>
        <w:t>a major challenge: T</w:t>
      </w:r>
      <w:r w:rsidRPr="000E460C">
        <w:rPr>
          <w:rFonts w:ascii="Times New Roman" w:hAnsi="Times New Roman" w:cs="Times New Roman"/>
          <w:color w:val="000000"/>
          <w:lang w:val="en-US"/>
        </w:rPr>
        <w:t>hey should be innovative, not simply capable of being inventive but of organizin</w:t>
      </w:r>
      <w:r w:rsidR="00746200" w:rsidRPr="000E460C">
        <w:rPr>
          <w:rFonts w:ascii="Times New Roman" w:hAnsi="Times New Roman" w:cs="Times New Roman"/>
          <w:color w:val="000000"/>
          <w:lang w:val="en-US"/>
        </w:rPr>
        <w:t xml:space="preserve">g creativity that is acclaimed. </w:t>
      </w:r>
      <w:r w:rsidR="005072BD" w:rsidRPr="000E460C">
        <w:rPr>
          <w:rFonts w:ascii="Times New Roman" w:hAnsi="Times New Roman" w:cs="Times New Roman"/>
          <w:color w:val="000000"/>
          <w:lang w:val="en-US"/>
        </w:rPr>
        <w:t xml:space="preserve">This research project will address the socio-cognitive challenge of producing a novel creation and one, moreover, that is not only experienced as new but is also recognized as useful, even exciting. Creating something genuinely new requires breaking out of existing categories, perhaps by reconfiguring and recombining them in unexpected ways. As such, from the standpoint of cognition, we can think of this as a process of </w:t>
      </w:r>
      <w:r w:rsidR="005072BD" w:rsidRPr="000E460C">
        <w:rPr>
          <w:rFonts w:ascii="Times New Roman" w:hAnsi="Times New Roman" w:cs="Times New Roman"/>
          <w:i/>
          <w:iCs/>
          <w:color w:val="000000"/>
          <w:lang w:val="en-US"/>
        </w:rPr>
        <w:t>re-cognition</w:t>
      </w:r>
      <w:r w:rsidR="005072BD" w:rsidRPr="000E460C">
        <w:rPr>
          <w:rFonts w:ascii="Times New Roman" w:hAnsi="Times New Roman" w:cs="Times New Roman"/>
          <w:color w:val="000000"/>
          <w:lang w:val="en-US"/>
        </w:rPr>
        <w:t xml:space="preserve">. But the more radical the re-cognition (i.e., the greater the departure from existing categories), the greater is the risk that it will not be meaningfully and positively recognized by the audience. It is for this reason that this process is a </w:t>
      </w:r>
      <w:r w:rsidR="005072BD" w:rsidRPr="000E460C">
        <w:rPr>
          <w:rFonts w:ascii="Times New Roman" w:hAnsi="Times New Roman" w:cs="Times New Roman"/>
          <w:i/>
          <w:iCs/>
          <w:color w:val="000000"/>
          <w:lang w:val="en-US"/>
        </w:rPr>
        <w:t xml:space="preserve">socio-cognitive </w:t>
      </w:r>
      <w:r w:rsidR="005072BD" w:rsidRPr="000E460C">
        <w:rPr>
          <w:rFonts w:ascii="Times New Roman" w:hAnsi="Times New Roman" w:cs="Times New Roman"/>
          <w:color w:val="000000"/>
          <w:lang w:val="en-US"/>
        </w:rPr>
        <w:t>challenge.</w:t>
      </w:r>
    </w:p>
    <w:p w14:paraId="3BF43BBC" w14:textId="0A74AB66" w:rsidR="005072BD" w:rsidRPr="000E460C" w:rsidRDefault="0040178C" w:rsidP="00792A2A">
      <w:pPr>
        <w:widowControl w:val="0"/>
        <w:autoSpaceDE w:val="0"/>
        <w:autoSpaceDN w:val="0"/>
        <w:adjustRightInd w:val="0"/>
        <w:spacing w:after="120" w:line="480" w:lineRule="auto"/>
        <w:ind w:firstLine="567"/>
        <w:jc w:val="both"/>
        <w:rPr>
          <w:rFonts w:ascii="Times New Roman" w:hAnsi="Times New Roman" w:cs="Times New Roman"/>
          <w:color w:val="000000"/>
          <w:lang w:val="en-US"/>
        </w:rPr>
      </w:pPr>
      <w:r w:rsidRPr="000E460C">
        <w:rPr>
          <w:rFonts w:ascii="Times New Roman" w:hAnsi="Times New Roman" w:cs="Times New Roman"/>
          <w:iCs/>
          <w:color w:val="000000"/>
          <w:lang w:val="en-US"/>
        </w:rPr>
        <w:t xml:space="preserve">This project </w:t>
      </w:r>
      <w:r w:rsidR="0045748E" w:rsidRPr="000E460C">
        <w:rPr>
          <w:rFonts w:ascii="Times New Roman" w:hAnsi="Times New Roman" w:cs="Times New Roman"/>
          <w:iCs/>
          <w:color w:val="000000"/>
          <w:lang w:val="en-US"/>
        </w:rPr>
        <w:t xml:space="preserve">is inspired </w:t>
      </w:r>
      <w:r w:rsidR="00DF099C" w:rsidRPr="000E460C">
        <w:rPr>
          <w:rFonts w:ascii="Times New Roman" w:hAnsi="Times New Roman" w:cs="Times New Roman"/>
          <w:iCs/>
          <w:color w:val="000000"/>
          <w:lang w:val="en-US"/>
        </w:rPr>
        <w:t>by</w:t>
      </w:r>
      <w:r w:rsidR="0045748E" w:rsidRPr="000E460C">
        <w:rPr>
          <w:rFonts w:ascii="Times New Roman" w:hAnsi="Times New Roman" w:cs="Times New Roman"/>
          <w:iCs/>
          <w:color w:val="000000"/>
          <w:lang w:val="en-US"/>
        </w:rPr>
        <w:t xml:space="preserve"> </w:t>
      </w:r>
      <w:r w:rsidRPr="000E460C">
        <w:rPr>
          <w:rFonts w:ascii="Times New Roman" w:hAnsi="Times New Roman" w:cs="Times New Roman"/>
          <w:iCs/>
          <w:color w:val="000000"/>
          <w:lang w:val="en-US"/>
        </w:rPr>
        <w:t xml:space="preserve">new insights from economic sociology </w:t>
      </w:r>
      <w:r w:rsidR="00DF099C" w:rsidRPr="000E460C">
        <w:rPr>
          <w:rFonts w:ascii="Times New Roman" w:hAnsi="Times New Roman" w:cs="Times New Roman"/>
          <w:iCs/>
          <w:color w:val="000000"/>
          <w:lang w:val="en-US"/>
        </w:rPr>
        <w:t>(</w:t>
      </w:r>
      <w:proofErr w:type="spellStart"/>
      <w:r w:rsidR="000C1B9F" w:rsidRPr="000E460C">
        <w:rPr>
          <w:rFonts w:ascii="Times New Roman" w:hAnsi="Times New Roman" w:cs="Times New Roman"/>
          <w:color w:val="000000"/>
          <w:lang w:val="en-US"/>
        </w:rPr>
        <w:t>Callon</w:t>
      </w:r>
      <w:proofErr w:type="spellEnd"/>
      <w:r w:rsidR="000C1B9F" w:rsidRPr="000E460C">
        <w:rPr>
          <w:rFonts w:ascii="Times New Roman" w:hAnsi="Times New Roman" w:cs="Times New Roman"/>
          <w:color w:val="000000"/>
          <w:lang w:val="en-US"/>
        </w:rPr>
        <w:t xml:space="preserve"> and </w:t>
      </w:r>
      <w:proofErr w:type="spellStart"/>
      <w:r w:rsidR="000C1B9F" w:rsidRPr="000E460C">
        <w:rPr>
          <w:rFonts w:ascii="Times New Roman" w:hAnsi="Times New Roman" w:cs="Times New Roman"/>
          <w:color w:val="000000"/>
          <w:lang w:val="en-US"/>
        </w:rPr>
        <w:t>Muniesa</w:t>
      </w:r>
      <w:proofErr w:type="spellEnd"/>
      <w:r w:rsidR="000C1B9F" w:rsidRPr="000E460C">
        <w:rPr>
          <w:rFonts w:ascii="Times New Roman" w:hAnsi="Times New Roman" w:cs="Times New Roman"/>
          <w:color w:val="000000"/>
          <w:lang w:val="en-US"/>
        </w:rPr>
        <w:t xml:space="preserve"> 2005; </w:t>
      </w:r>
      <w:proofErr w:type="spellStart"/>
      <w:r w:rsidR="000C1B9F" w:rsidRPr="000E460C">
        <w:rPr>
          <w:rFonts w:ascii="Times New Roman" w:hAnsi="Times New Roman" w:cs="Times New Roman"/>
          <w:color w:val="000000"/>
          <w:lang w:val="en-US"/>
        </w:rPr>
        <w:t>Muniesa</w:t>
      </w:r>
      <w:proofErr w:type="spellEnd"/>
      <w:r w:rsidR="000C1B9F" w:rsidRPr="000E460C">
        <w:rPr>
          <w:rFonts w:ascii="Times New Roman" w:hAnsi="Times New Roman" w:cs="Times New Roman"/>
          <w:color w:val="000000"/>
          <w:lang w:val="en-US"/>
        </w:rPr>
        <w:t xml:space="preserve"> 2014; </w:t>
      </w:r>
      <w:proofErr w:type="spellStart"/>
      <w:r w:rsidR="000C1B9F" w:rsidRPr="000E460C">
        <w:rPr>
          <w:rFonts w:ascii="Times New Roman" w:hAnsi="Times New Roman" w:cs="Times New Roman"/>
          <w:color w:val="000000"/>
          <w:lang w:val="en-US"/>
        </w:rPr>
        <w:t>Lépinay</w:t>
      </w:r>
      <w:proofErr w:type="spellEnd"/>
      <w:r w:rsidR="000C1B9F" w:rsidRPr="000E460C">
        <w:rPr>
          <w:rFonts w:ascii="Times New Roman" w:hAnsi="Times New Roman" w:cs="Times New Roman"/>
          <w:color w:val="000000"/>
          <w:lang w:val="en-US"/>
        </w:rPr>
        <w:t xml:space="preserve"> 2014; </w:t>
      </w:r>
      <w:proofErr w:type="spellStart"/>
      <w:r w:rsidR="000C1B9F" w:rsidRPr="000E460C">
        <w:rPr>
          <w:rFonts w:ascii="Times New Roman" w:hAnsi="Times New Roman" w:cs="Times New Roman"/>
          <w:color w:val="000000"/>
          <w:lang w:val="en-US"/>
        </w:rPr>
        <w:t>MacKenzie</w:t>
      </w:r>
      <w:proofErr w:type="spellEnd"/>
      <w:r w:rsidR="000C1B9F" w:rsidRPr="000E460C">
        <w:rPr>
          <w:rFonts w:ascii="Times New Roman" w:hAnsi="Times New Roman" w:cs="Times New Roman"/>
          <w:color w:val="000000"/>
          <w:lang w:val="en-US"/>
        </w:rPr>
        <w:t xml:space="preserve"> 2006; Beunza and Stark 2012; Knorr </w:t>
      </w:r>
      <w:proofErr w:type="spellStart"/>
      <w:r w:rsidR="000C1B9F" w:rsidRPr="000E460C">
        <w:rPr>
          <w:rFonts w:ascii="Times New Roman" w:hAnsi="Times New Roman" w:cs="Times New Roman"/>
          <w:color w:val="000000"/>
          <w:lang w:val="en-US"/>
        </w:rPr>
        <w:t>Cetina</w:t>
      </w:r>
      <w:proofErr w:type="spellEnd"/>
      <w:r w:rsidR="000C1B9F" w:rsidRPr="000E460C">
        <w:rPr>
          <w:rFonts w:ascii="Times New Roman" w:hAnsi="Times New Roman" w:cs="Times New Roman"/>
          <w:color w:val="000000"/>
          <w:lang w:val="en-US"/>
        </w:rPr>
        <w:t xml:space="preserve"> 2005; Knorr </w:t>
      </w:r>
      <w:proofErr w:type="spellStart"/>
      <w:r w:rsidR="000C1B9F" w:rsidRPr="000E460C">
        <w:rPr>
          <w:rFonts w:ascii="Times New Roman" w:hAnsi="Times New Roman" w:cs="Times New Roman"/>
          <w:color w:val="000000"/>
          <w:lang w:val="en-US"/>
        </w:rPr>
        <w:t>Cetina</w:t>
      </w:r>
      <w:proofErr w:type="spellEnd"/>
      <w:r w:rsidR="000C1B9F" w:rsidRPr="000E460C">
        <w:rPr>
          <w:rFonts w:ascii="Times New Roman" w:hAnsi="Times New Roman" w:cs="Times New Roman"/>
          <w:color w:val="000000"/>
          <w:lang w:val="en-US"/>
        </w:rPr>
        <w:t xml:space="preserve"> and </w:t>
      </w:r>
      <w:proofErr w:type="spellStart"/>
      <w:r w:rsidR="000C1B9F" w:rsidRPr="000E460C">
        <w:rPr>
          <w:rFonts w:ascii="Times New Roman" w:hAnsi="Times New Roman" w:cs="Times New Roman"/>
          <w:color w:val="000000"/>
          <w:lang w:val="en-US"/>
        </w:rPr>
        <w:t>Bruegger</w:t>
      </w:r>
      <w:proofErr w:type="spellEnd"/>
      <w:r w:rsidR="000C1B9F" w:rsidRPr="000E460C">
        <w:rPr>
          <w:rFonts w:ascii="Times New Roman" w:hAnsi="Times New Roman" w:cs="Times New Roman"/>
          <w:color w:val="000000"/>
          <w:lang w:val="en-US"/>
        </w:rPr>
        <w:t xml:space="preserve"> 2002</w:t>
      </w:r>
      <w:r w:rsidR="00D36280" w:rsidRPr="000E460C">
        <w:rPr>
          <w:rFonts w:ascii="Times New Roman" w:hAnsi="Times New Roman" w:cs="Times New Roman"/>
          <w:color w:val="000000"/>
          <w:lang w:val="en-US"/>
        </w:rPr>
        <w:t>) and aims at s</w:t>
      </w:r>
      <w:r w:rsidR="00F211EB" w:rsidRPr="000E460C">
        <w:rPr>
          <w:rFonts w:ascii="Times New Roman" w:hAnsi="Times New Roman" w:cs="Times New Roman"/>
          <w:color w:val="000000"/>
          <w:lang w:val="en-US"/>
        </w:rPr>
        <w:t xml:space="preserve">tudying cognitive challenges </w:t>
      </w:r>
      <w:r w:rsidR="002462D7" w:rsidRPr="000E460C">
        <w:rPr>
          <w:rFonts w:ascii="Times New Roman" w:hAnsi="Times New Roman" w:cs="Times New Roman"/>
          <w:color w:val="000000"/>
          <w:lang w:val="en-US"/>
        </w:rPr>
        <w:t xml:space="preserve">from an economic sociology perspective. </w:t>
      </w:r>
      <w:r w:rsidR="00F211EB" w:rsidRPr="000E460C">
        <w:rPr>
          <w:rFonts w:ascii="Times New Roman" w:hAnsi="Times New Roman" w:cs="Times New Roman"/>
          <w:color w:val="000000"/>
          <w:lang w:val="en-US"/>
        </w:rPr>
        <w:t xml:space="preserve">At first glance, cognition seems inherently individualistic and, therefore, the sole province of the decision sciences such as psychology and economics. What does sociology, as the discipline in which the basic unit of analysis is irreducibly </w:t>
      </w:r>
      <w:r w:rsidR="00F211EB" w:rsidRPr="000E460C">
        <w:rPr>
          <w:rFonts w:ascii="Times New Roman" w:hAnsi="Times New Roman" w:cs="Times New Roman"/>
          <w:i/>
          <w:iCs/>
          <w:color w:val="000000"/>
          <w:lang w:val="en-US"/>
        </w:rPr>
        <w:t>a relation</w:t>
      </w:r>
      <w:r w:rsidR="00F211EB" w:rsidRPr="000E460C">
        <w:rPr>
          <w:rFonts w:ascii="Times New Roman" w:hAnsi="Times New Roman" w:cs="Times New Roman"/>
          <w:color w:val="000000"/>
          <w:lang w:val="en-US"/>
        </w:rPr>
        <w:t xml:space="preserve">, have to say about cognition? In fact, it is precisely this irreducible </w:t>
      </w:r>
      <w:proofErr w:type="spellStart"/>
      <w:r w:rsidR="00F211EB" w:rsidRPr="000E460C">
        <w:rPr>
          <w:rFonts w:ascii="Times New Roman" w:hAnsi="Times New Roman" w:cs="Times New Roman"/>
          <w:color w:val="000000"/>
          <w:lang w:val="en-US"/>
        </w:rPr>
        <w:t>relationality</w:t>
      </w:r>
      <w:proofErr w:type="spellEnd"/>
      <w:r w:rsidR="00F211EB" w:rsidRPr="000E460C">
        <w:rPr>
          <w:rFonts w:ascii="Times New Roman" w:hAnsi="Times New Roman" w:cs="Times New Roman"/>
          <w:color w:val="000000"/>
          <w:lang w:val="en-US"/>
        </w:rPr>
        <w:t xml:space="preserve"> that can be the source of valuable new insights from a socio</w:t>
      </w:r>
      <w:r w:rsidR="00150B25" w:rsidRPr="000E460C">
        <w:rPr>
          <w:rFonts w:ascii="Times New Roman" w:hAnsi="Times New Roman" w:cs="Times New Roman"/>
          <w:color w:val="000000"/>
          <w:lang w:val="en-US"/>
        </w:rPr>
        <w:t>logical approach to cognition.</w:t>
      </w:r>
    </w:p>
    <w:p w14:paraId="145363E7" w14:textId="71631153" w:rsidR="00853F39" w:rsidRPr="000E460C" w:rsidRDefault="003D64BE" w:rsidP="00792A2A">
      <w:pPr>
        <w:widowControl w:val="0"/>
        <w:autoSpaceDE w:val="0"/>
        <w:autoSpaceDN w:val="0"/>
        <w:adjustRightInd w:val="0"/>
        <w:spacing w:after="120" w:line="480" w:lineRule="auto"/>
        <w:ind w:firstLine="567"/>
        <w:jc w:val="both"/>
        <w:rPr>
          <w:rFonts w:ascii="Times New Roman" w:hAnsi="Times New Roman" w:cs="Times New Roman"/>
          <w:color w:val="000000"/>
          <w:lang w:val="en-US"/>
        </w:rPr>
      </w:pPr>
      <w:r>
        <w:rPr>
          <w:rFonts w:ascii="Times New Roman" w:hAnsi="Times New Roman" w:cs="Times New Roman"/>
          <w:color w:val="000000"/>
          <w:lang w:val="en-US"/>
        </w:rPr>
        <w:t>The</w:t>
      </w:r>
      <w:r w:rsidR="00287329" w:rsidRPr="000E460C">
        <w:rPr>
          <w:rFonts w:ascii="Times New Roman" w:hAnsi="Times New Roman" w:cs="Times New Roman"/>
          <w:color w:val="000000"/>
          <w:lang w:val="en-US"/>
        </w:rPr>
        <w:t xml:space="preserve"> sociological perspective turn</w:t>
      </w:r>
      <w:r w:rsidR="00343D1F" w:rsidRPr="000E460C">
        <w:rPr>
          <w:rFonts w:ascii="Times New Roman" w:hAnsi="Times New Roman" w:cs="Times New Roman"/>
          <w:color w:val="000000"/>
          <w:lang w:val="en-US"/>
        </w:rPr>
        <w:t>s</w:t>
      </w:r>
      <w:r w:rsidR="00287329" w:rsidRPr="000E460C">
        <w:rPr>
          <w:rFonts w:ascii="Times New Roman" w:hAnsi="Times New Roman" w:cs="Times New Roman"/>
          <w:color w:val="000000"/>
          <w:lang w:val="en-US"/>
        </w:rPr>
        <w:t xml:space="preserve"> particularly </w:t>
      </w:r>
      <w:r w:rsidR="00A863DB" w:rsidRPr="000E460C">
        <w:rPr>
          <w:rFonts w:ascii="Times New Roman" w:hAnsi="Times New Roman" w:cs="Times New Roman"/>
          <w:color w:val="000000"/>
          <w:lang w:val="en-US"/>
        </w:rPr>
        <w:t xml:space="preserve">meaningful in those cases in which </w:t>
      </w:r>
      <w:r w:rsidR="00F211EB" w:rsidRPr="000E460C">
        <w:rPr>
          <w:rFonts w:ascii="Times New Roman" w:hAnsi="Times New Roman" w:cs="Times New Roman"/>
          <w:color w:val="000000"/>
          <w:lang w:val="en-US"/>
        </w:rPr>
        <w:t xml:space="preserve">the unit that is creating the cultural product is not an individual but is a team. From their prior work on earlier projects, team members bring exposure to stylistic elements that can be available for recombination. </w:t>
      </w:r>
      <w:r w:rsidR="002D266F" w:rsidRPr="000E460C">
        <w:rPr>
          <w:rFonts w:ascii="Times New Roman" w:hAnsi="Times New Roman" w:cs="Times New Roman"/>
          <w:color w:val="000000"/>
          <w:lang w:val="en-US"/>
        </w:rPr>
        <w:t xml:space="preserve">We can think </w:t>
      </w:r>
      <w:r w:rsidR="002D266F" w:rsidRPr="000E460C">
        <w:rPr>
          <w:rFonts w:ascii="Times New Roman" w:hAnsi="Times New Roman" w:cs="Times New Roman"/>
          <w:color w:val="000000"/>
          <w:lang w:val="en-US"/>
        </w:rPr>
        <w:lastRenderedPageBreak/>
        <w:t>of the members’</w:t>
      </w:r>
      <w:r w:rsidR="00FC0406"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prior exposure to these elements as stylistic portfolios</w:t>
      </w:r>
      <w:r w:rsidR="00FC0406" w:rsidRPr="000E460C">
        <w:rPr>
          <w:rFonts w:ascii="Times New Roman" w:hAnsi="Times New Roman" w:cs="Times New Roman"/>
          <w:color w:val="000000"/>
          <w:lang w:val="en-US"/>
        </w:rPr>
        <w:t xml:space="preserve">, and </w:t>
      </w:r>
      <w:r w:rsidR="00343D1F" w:rsidRPr="000E460C">
        <w:rPr>
          <w:rFonts w:ascii="Times New Roman" w:hAnsi="Times New Roman" w:cs="Times New Roman"/>
          <w:color w:val="000000"/>
          <w:lang w:val="en-US"/>
        </w:rPr>
        <w:t>focus on</w:t>
      </w:r>
      <w:r w:rsidR="00FC0406"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the cognitive distance of the stylistic portfolios among the members of a creative team. Requiring prior exposure to more diverse stylistic elements, radical innovation is likely to entail significant cognitiv</w:t>
      </w:r>
      <w:r w:rsidR="00AF18E5" w:rsidRPr="000E460C">
        <w:rPr>
          <w:rFonts w:ascii="Times New Roman" w:hAnsi="Times New Roman" w:cs="Times New Roman"/>
          <w:color w:val="000000"/>
          <w:lang w:val="en-US"/>
        </w:rPr>
        <w:t>e distance.</w:t>
      </w:r>
    </w:p>
    <w:p w14:paraId="5478502F" w14:textId="7D833968" w:rsidR="00051578" w:rsidRPr="000E460C" w:rsidRDefault="001D08EE" w:rsidP="00792A2A">
      <w:pPr>
        <w:widowControl w:val="0"/>
        <w:autoSpaceDE w:val="0"/>
        <w:autoSpaceDN w:val="0"/>
        <w:adjustRightInd w:val="0"/>
        <w:spacing w:after="120" w:line="480" w:lineRule="auto"/>
        <w:ind w:firstLine="567"/>
        <w:jc w:val="both"/>
        <w:rPr>
          <w:rFonts w:ascii="Times New Roman" w:hAnsi="Times New Roman" w:cs="Times New Roman"/>
          <w:color w:val="000000"/>
          <w:lang w:val="en-US"/>
        </w:rPr>
      </w:pPr>
      <w:r w:rsidRPr="000E460C">
        <w:rPr>
          <w:rFonts w:ascii="Times New Roman" w:hAnsi="Times New Roman" w:cs="Times New Roman"/>
          <w:color w:val="000000"/>
          <w:lang w:val="en-US"/>
        </w:rPr>
        <w:t>A</w:t>
      </w:r>
      <w:r w:rsidR="00F211EB" w:rsidRPr="000E460C">
        <w:rPr>
          <w:rFonts w:ascii="Times New Roman" w:hAnsi="Times New Roman" w:cs="Times New Roman"/>
          <w:color w:val="000000"/>
          <w:lang w:val="en-US"/>
        </w:rPr>
        <w:t xml:space="preserve">lthough necessary for innovation, </w:t>
      </w:r>
      <w:r w:rsidRPr="000E460C">
        <w:rPr>
          <w:rFonts w:ascii="Times New Roman" w:hAnsi="Times New Roman" w:cs="Times New Roman"/>
          <w:color w:val="000000"/>
          <w:lang w:val="en-US"/>
        </w:rPr>
        <w:t xml:space="preserve">however, </w:t>
      </w:r>
      <w:r w:rsidR="00F211EB" w:rsidRPr="000E460C">
        <w:rPr>
          <w:rFonts w:ascii="Times New Roman" w:hAnsi="Times New Roman" w:cs="Times New Roman"/>
          <w:color w:val="000000"/>
          <w:lang w:val="en-US"/>
        </w:rPr>
        <w:t xml:space="preserve">cognitive distance comes at a cost: members that are cognitively very distant might have difficulty comprehending each other. Are there ways that this cognitive dissonance can be positively mobilized? In particular, are there social structural factors that can combine with cognitive distance for creative, game changing, success? </w:t>
      </w:r>
      <w:r w:rsidR="00DE4F0A" w:rsidRPr="000E460C">
        <w:rPr>
          <w:rFonts w:ascii="Times New Roman" w:hAnsi="Times New Roman" w:cs="Times New Roman"/>
          <w:color w:val="000000"/>
          <w:lang w:val="en-US"/>
        </w:rPr>
        <w:t>Differently f</w:t>
      </w:r>
      <w:r w:rsidR="00F211EB" w:rsidRPr="000E460C">
        <w:rPr>
          <w:rFonts w:ascii="Times New Roman" w:hAnsi="Times New Roman" w:cs="Times New Roman"/>
          <w:color w:val="000000"/>
          <w:lang w:val="en-US"/>
        </w:rPr>
        <w:t xml:space="preserve">rom relations between actors and objects or the curious sociality among nearly or actually anonymous </w:t>
      </w:r>
      <w:r w:rsidR="00F211EB" w:rsidRPr="000E460C">
        <w:rPr>
          <w:rFonts w:ascii="Times New Roman" w:hAnsi="Times New Roman" w:cs="Times New Roman"/>
          <w:i/>
          <w:iCs/>
          <w:color w:val="000000"/>
          <w:lang w:val="en-US"/>
        </w:rPr>
        <w:t>rivals</w:t>
      </w:r>
      <w:r w:rsidR="00391C41" w:rsidRPr="000E460C">
        <w:rPr>
          <w:rFonts w:ascii="Times New Roman" w:hAnsi="Times New Roman" w:cs="Times New Roman"/>
          <w:i/>
          <w:iCs/>
          <w:color w:val="000000"/>
          <w:lang w:val="en-US"/>
        </w:rPr>
        <w:t xml:space="preserve"> </w:t>
      </w:r>
      <w:r w:rsidR="00391C41" w:rsidRPr="000E460C">
        <w:rPr>
          <w:rFonts w:ascii="Times New Roman" w:hAnsi="Times New Roman" w:cs="Times New Roman"/>
          <w:color w:val="000000"/>
          <w:lang w:val="en-US"/>
        </w:rPr>
        <w:t>(</w:t>
      </w:r>
      <w:r w:rsidR="00294BE0" w:rsidRPr="000E460C">
        <w:rPr>
          <w:rFonts w:ascii="Times New Roman" w:hAnsi="Times New Roman" w:cs="Times New Roman"/>
          <w:color w:val="000000"/>
          <w:lang w:val="en-US"/>
        </w:rPr>
        <w:t>Beunza and Stark 2004,</w:t>
      </w:r>
      <w:r w:rsidR="00391C41" w:rsidRPr="000E460C">
        <w:rPr>
          <w:rFonts w:ascii="Times New Roman" w:hAnsi="Times New Roman" w:cs="Times New Roman"/>
          <w:color w:val="000000"/>
          <w:lang w:val="en-US"/>
        </w:rPr>
        <w:t xml:space="preserve"> </w:t>
      </w:r>
      <w:r w:rsidR="00294BE0" w:rsidRPr="000E460C">
        <w:rPr>
          <w:rFonts w:ascii="Times New Roman" w:hAnsi="Times New Roman" w:cs="Times New Roman"/>
          <w:color w:val="000000"/>
          <w:lang w:val="en-US"/>
        </w:rPr>
        <w:t>2012</w:t>
      </w:r>
      <w:r w:rsidR="00391C41" w:rsidRPr="000E460C">
        <w:rPr>
          <w:rFonts w:ascii="Times New Roman" w:hAnsi="Times New Roman" w:cs="Times New Roman"/>
          <w:color w:val="000000"/>
          <w:lang w:val="en-US"/>
        </w:rPr>
        <w:t>)</w:t>
      </w:r>
      <w:r w:rsidR="00B65631" w:rsidRPr="000E460C">
        <w:rPr>
          <w:rFonts w:ascii="Times New Roman" w:hAnsi="Times New Roman" w:cs="Times New Roman"/>
          <w:color w:val="000000"/>
          <w:lang w:val="en-US"/>
        </w:rPr>
        <w:t>, we</w:t>
      </w:r>
      <w:r w:rsidR="00F211EB" w:rsidRPr="000E460C">
        <w:rPr>
          <w:rFonts w:ascii="Times New Roman" w:hAnsi="Times New Roman" w:cs="Times New Roman"/>
          <w:color w:val="000000"/>
          <w:lang w:val="en-US"/>
        </w:rPr>
        <w:t xml:space="preserve"> confro</w:t>
      </w:r>
      <w:r w:rsidR="00051578" w:rsidRPr="000E460C">
        <w:rPr>
          <w:rFonts w:ascii="Times New Roman" w:hAnsi="Times New Roman" w:cs="Times New Roman"/>
          <w:color w:val="000000"/>
          <w:lang w:val="en-US"/>
        </w:rPr>
        <w:t xml:space="preserve">nt </w:t>
      </w:r>
      <w:r w:rsidR="00B65631" w:rsidRPr="000E460C">
        <w:rPr>
          <w:rFonts w:ascii="Times New Roman" w:hAnsi="Times New Roman" w:cs="Times New Roman"/>
          <w:color w:val="000000"/>
          <w:lang w:val="en-US"/>
        </w:rPr>
        <w:t xml:space="preserve">here </w:t>
      </w:r>
      <w:r w:rsidR="00051578" w:rsidRPr="000E460C">
        <w:rPr>
          <w:rFonts w:ascii="Times New Roman" w:hAnsi="Times New Roman" w:cs="Times New Roman"/>
          <w:color w:val="000000"/>
          <w:lang w:val="en-US"/>
        </w:rPr>
        <w:t>actors who must collaborate.</w:t>
      </w:r>
    </w:p>
    <w:p w14:paraId="3C5C3948" w14:textId="397EFF90" w:rsidR="00D50DD0" w:rsidRPr="000E460C" w:rsidRDefault="005B1413" w:rsidP="00792A2A">
      <w:pPr>
        <w:widowControl w:val="0"/>
        <w:autoSpaceDE w:val="0"/>
        <w:autoSpaceDN w:val="0"/>
        <w:adjustRightInd w:val="0"/>
        <w:spacing w:after="120" w:line="480" w:lineRule="auto"/>
        <w:ind w:firstLine="567"/>
        <w:jc w:val="both"/>
        <w:rPr>
          <w:rFonts w:ascii="Times New Roman" w:hAnsi="Times New Roman" w:cs="Times New Roman"/>
          <w:color w:val="000000"/>
          <w:lang w:val="en-US"/>
        </w:rPr>
      </w:pPr>
      <w:r w:rsidRPr="000E460C">
        <w:rPr>
          <w:rFonts w:ascii="Times New Roman" w:hAnsi="Times New Roman" w:cs="Times New Roman"/>
          <w:color w:val="000000"/>
          <w:lang w:val="en-US"/>
        </w:rPr>
        <w:t>The project</w:t>
      </w:r>
      <w:r w:rsidR="00F211EB" w:rsidRPr="000E460C">
        <w:rPr>
          <w:rFonts w:ascii="Times New Roman" w:hAnsi="Times New Roman" w:cs="Times New Roman"/>
          <w:color w:val="000000"/>
          <w:lang w:val="en-US"/>
        </w:rPr>
        <w:t xml:space="preserve"> propose</w:t>
      </w:r>
      <w:r w:rsidRPr="000E460C">
        <w:rPr>
          <w:rFonts w:ascii="Times New Roman" w:hAnsi="Times New Roman" w:cs="Times New Roman"/>
          <w:color w:val="000000"/>
          <w:lang w:val="en-US"/>
        </w:rPr>
        <w:t>s</w:t>
      </w:r>
      <w:r w:rsidR="00F211EB" w:rsidRPr="000E460C">
        <w:rPr>
          <w:rFonts w:ascii="Times New Roman" w:hAnsi="Times New Roman" w:cs="Times New Roman"/>
          <w:color w:val="000000"/>
          <w:lang w:val="en-US"/>
        </w:rPr>
        <w:t xml:space="preserve"> an historical cultural network analysis of the lineages formed by intersecting careers. I</w:t>
      </w:r>
      <w:r w:rsidRPr="000E460C">
        <w:rPr>
          <w:rFonts w:ascii="Times New Roman" w:hAnsi="Times New Roman" w:cs="Times New Roman"/>
          <w:color w:val="000000"/>
          <w:lang w:val="en-US"/>
        </w:rPr>
        <w:t>t</w:t>
      </w:r>
      <w:r w:rsidR="00F211EB" w:rsidRPr="000E460C">
        <w:rPr>
          <w:rFonts w:ascii="Times New Roman" w:hAnsi="Times New Roman" w:cs="Times New Roman"/>
          <w:color w:val="000000"/>
          <w:lang w:val="en-US"/>
        </w:rPr>
        <w:t xml:space="preserve"> suggest</w:t>
      </w:r>
      <w:r w:rsidRPr="000E460C">
        <w:rPr>
          <w:rFonts w:ascii="Times New Roman" w:hAnsi="Times New Roman" w:cs="Times New Roman"/>
          <w:color w:val="000000"/>
          <w:lang w:val="en-US"/>
        </w:rPr>
        <w:t>s</w:t>
      </w:r>
      <w:r w:rsidR="00F211EB" w:rsidRPr="000E460C">
        <w:rPr>
          <w:rFonts w:ascii="Times New Roman" w:hAnsi="Times New Roman" w:cs="Times New Roman"/>
          <w:color w:val="000000"/>
          <w:lang w:val="en-US"/>
        </w:rPr>
        <w:t xml:space="preserve"> that teams are composed not simply of individuals but of groups members who had worked together in the past and that these groups can be isolated, brokered</w:t>
      </w:r>
      <w:r w:rsidR="00AF18E5"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or overlapping.</w:t>
      </w:r>
      <w:r w:rsidR="00A95DA0"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Teams in fields that reward creativity face several challenges. First, in striving for novelty, they risk producing a product that cannot be assimilated to the tastes of critics and consumers (Cattani, Ferriani, and Allison 2014). A cultural product can be innovative without being successful; and it can be successful without being innovative. Creative success requires novelty that is recognized as excellence (Cattani and Ferriani 2008)</w:t>
      </w:r>
      <w:r w:rsidR="000D7970" w:rsidRPr="000E460C">
        <w:rPr>
          <w:rFonts w:ascii="Times New Roman" w:hAnsi="Times New Roman" w:cs="Times New Roman"/>
          <w:color w:val="000000"/>
          <w:lang w:val="en-US"/>
        </w:rPr>
        <w:t xml:space="preserve"> – novelty that </w:t>
      </w:r>
      <w:r w:rsidR="00F211EB" w:rsidRPr="000E460C">
        <w:rPr>
          <w:rFonts w:ascii="Times New Roman" w:hAnsi="Times New Roman" w:cs="Times New Roman"/>
          <w:color w:val="000000"/>
          <w:lang w:val="en-US"/>
        </w:rPr>
        <w:t>stand</w:t>
      </w:r>
      <w:r w:rsidR="00874627" w:rsidRPr="000E460C">
        <w:rPr>
          <w:rFonts w:ascii="Times New Roman" w:hAnsi="Times New Roman" w:cs="Times New Roman"/>
          <w:color w:val="000000"/>
          <w:lang w:val="en-US"/>
        </w:rPr>
        <w:t>s out and is</w:t>
      </w:r>
      <w:r w:rsidR="00F211EB" w:rsidRPr="000E460C">
        <w:rPr>
          <w:rFonts w:ascii="Times New Roman" w:hAnsi="Times New Roman" w:cs="Times New Roman"/>
          <w:color w:val="000000"/>
          <w:lang w:val="en-US"/>
        </w:rPr>
        <w:t xml:space="preserve"> deemed outstanding. Second, producing a creatively successful cultural product requires a diverse array of stylistic elements that can be available for recombination. Teams whose members have been exposed to more diverse stylistic elements have more cognitive distance than those in which the members have very similar cognitive portfolios. The challenge is that while cognitive diversity contributes to novelty, high levels of cognitive distance can pose coordination difficulties</w:t>
      </w:r>
      <w:r w:rsidR="00D50DD0" w:rsidRPr="000E460C">
        <w:rPr>
          <w:rFonts w:ascii="Times New Roman" w:hAnsi="Times New Roman" w:cs="Times New Roman"/>
          <w:color w:val="000000"/>
          <w:lang w:val="en-US"/>
        </w:rPr>
        <w:t xml:space="preserve"> (e.g., </w:t>
      </w:r>
      <w:proofErr w:type="spellStart"/>
      <w:r w:rsidR="00F211EB" w:rsidRPr="000E460C">
        <w:rPr>
          <w:rFonts w:ascii="Times New Roman" w:hAnsi="Times New Roman" w:cs="Times New Roman"/>
          <w:color w:val="000000"/>
          <w:lang w:val="en-US"/>
        </w:rPr>
        <w:t>Nooteboom</w:t>
      </w:r>
      <w:proofErr w:type="spellEnd"/>
      <w:r w:rsidR="00F211EB" w:rsidRPr="000E460C">
        <w:rPr>
          <w:rFonts w:ascii="Times New Roman" w:hAnsi="Times New Roman" w:cs="Times New Roman"/>
          <w:color w:val="000000"/>
          <w:lang w:val="en-US"/>
        </w:rPr>
        <w:t xml:space="preserve"> et al</w:t>
      </w:r>
      <w:r w:rsidR="0084065A" w:rsidRPr="000E460C">
        <w:rPr>
          <w:rFonts w:ascii="Times New Roman" w:hAnsi="Times New Roman" w:cs="Times New Roman"/>
          <w:color w:val="000000"/>
          <w:lang w:val="en-US"/>
        </w:rPr>
        <w:t>.</w:t>
      </w:r>
      <w:r w:rsidR="00D50DD0"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2007)</w:t>
      </w:r>
      <w:r w:rsidR="00D50DD0" w:rsidRPr="000E460C">
        <w:rPr>
          <w:rFonts w:ascii="Times New Roman" w:hAnsi="Times New Roman" w:cs="Times New Roman"/>
          <w:color w:val="000000"/>
          <w:lang w:val="en-US"/>
        </w:rPr>
        <w:t>.</w:t>
      </w:r>
    </w:p>
    <w:p w14:paraId="205478F0" w14:textId="77777777" w:rsidR="00FF6DAA" w:rsidRDefault="00FF6DAA" w:rsidP="00FF6DAA">
      <w:pPr>
        <w:widowControl w:val="0"/>
        <w:autoSpaceDE w:val="0"/>
        <w:autoSpaceDN w:val="0"/>
        <w:adjustRightInd w:val="0"/>
        <w:spacing w:after="120" w:line="480" w:lineRule="auto"/>
        <w:jc w:val="both"/>
        <w:rPr>
          <w:rFonts w:ascii="Times New Roman" w:hAnsi="Times New Roman" w:cs="Times New Roman"/>
          <w:color w:val="000000"/>
          <w:lang w:val="en-US"/>
        </w:rPr>
      </w:pPr>
    </w:p>
    <w:p w14:paraId="42DF30C9" w14:textId="364BB4DD" w:rsidR="009E4147" w:rsidRPr="000E460C" w:rsidRDefault="00E221BF" w:rsidP="00FF6DAA">
      <w:pPr>
        <w:widowControl w:val="0"/>
        <w:autoSpaceDE w:val="0"/>
        <w:autoSpaceDN w:val="0"/>
        <w:adjustRightInd w:val="0"/>
        <w:spacing w:after="120" w:line="480" w:lineRule="auto"/>
        <w:jc w:val="both"/>
        <w:rPr>
          <w:rFonts w:ascii="Times New Roman" w:hAnsi="Times New Roman" w:cs="Times New Roman"/>
          <w:color w:val="000000"/>
          <w:lang w:val="en-US"/>
        </w:rPr>
      </w:pPr>
      <w:r w:rsidRPr="000E460C">
        <w:rPr>
          <w:rFonts w:ascii="Times New Roman" w:hAnsi="Times New Roman" w:cs="Times New Roman"/>
          <w:color w:val="000000"/>
          <w:lang w:val="en-US"/>
        </w:rPr>
        <w:lastRenderedPageBreak/>
        <w:t>This</w:t>
      </w:r>
      <w:r w:rsidR="009C42AF" w:rsidRPr="000E460C">
        <w:rPr>
          <w:rFonts w:ascii="Times New Roman" w:hAnsi="Times New Roman" w:cs="Times New Roman"/>
          <w:color w:val="000000"/>
          <w:lang w:val="en-US"/>
        </w:rPr>
        <w:t xml:space="preserve"> project</w:t>
      </w:r>
      <w:r w:rsidR="00F211EB" w:rsidRPr="000E460C">
        <w:rPr>
          <w:rFonts w:ascii="Times New Roman" w:hAnsi="Times New Roman" w:cs="Times New Roman"/>
          <w:color w:val="000000"/>
          <w:lang w:val="en-US"/>
        </w:rPr>
        <w:t xml:space="preserve"> propose</w:t>
      </w:r>
      <w:r w:rsidRPr="000E460C">
        <w:rPr>
          <w:rFonts w:ascii="Times New Roman" w:hAnsi="Times New Roman" w:cs="Times New Roman"/>
          <w:color w:val="000000"/>
          <w:lang w:val="en-US"/>
        </w:rPr>
        <w:t>s</w:t>
      </w:r>
      <w:r w:rsidR="00F211EB" w:rsidRPr="000E460C">
        <w:rPr>
          <w:rFonts w:ascii="Times New Roman" w:hAnsi="Times New Roman" w:cs="Times New Roman"/>
          <w:color w:val="000000"/>
          <w:lang w:val="en-US"/>
        </w:rPr>
        <w:t xml:space="preserve"> to study the social structural factors that can help make assets of ambiguity and turn misunderstanding into productive tension. </w:t>
      </w:r>
      <w:r w:rsidR="00967890" w:rsidRPr="000E460C">
        <w:rPr>
          <w:rFonts w:ascii="Times New Roman" w:hAnsi="Times New Roman" w:cs="Times New Roman"/>
          <w:color w:val="000000"/>
          <w:lang w:val="en-US"/>
        </w:rPr>
        <w:t>Possible</w:t>
      </w:r>
      <w:r w:rsidR="00FF36D5" w:rsidRPr="000E460C">
        <w:rPr>
          <w:rFonts w:ascii="Times New Roman" w:hAnsi="Times New Roman" w:cs="Times New Roman"/>
          <w:color w:val="000000"/>
          <w:lang w:val="en-US"/>
        </w:rPr>
        <w:t xml:space="preserve"> hint</w:t>
      </w:r>
      <w:r w:rsidR="00967890" w:rsidRPr="000E460C">
        <w:rPr>
          <w:rFonts w:ascii="Times New Roman" w:hAnsi="Times New Roman" w:cs="Times New Roman"/>
          <w:color w:val="000000"/>
          <w:lang w:val="en-US"/>
        </w:rPr>
        <w:t>s</w:t>
      </w:r>
      <w:r w:rsidR="00FF36D5" w:rsidRPr="000E460C">
        <w:rPr>
          <w:rFonts w:ascii="Times New Roman" w:hAnsi="Times New Roman" w:cs="Times New Roman"/>
          <w:color w:val="000000"/>
          <w:lang w:val="en-US"/>
        </w:rPr>
        <w:t xml:space="preserve"> come from the concept of </w:t>
      </w:r>
      <w:r w:rsidR="00F211EB" w:rsidRPr="000E460C">
        <w:rPr>
          <w:rFonts w:ascii="Times New Roman" w:hAnsi="Times New Roman" w:cs="Times New Roman"/>
          <w:i/>
          <w:iCs/>
          <w:color w:val="000000"/>
          <w:lang w:val="en-US"/>
        </w:rPr>
        <w:t>structural folding</w:t>
      </w:r>
      <w:r w:rsidR="006120ED" w:rsidRPr="000E460C">
        <w:rPr>
          <w:rFonts w:ascii="Times New Roman" w:hAnsi="Times New Roman" w:cs="Times New Roman"/>
          <w:i/>
          <w:iCs/>
          <w:color w:val="000000"/>
          <w:lang w:val="en-US"/>
        </w:rPr>
        <w:t xml:space="preserve"> </w:t>
      </w:r>
      <w:r w:rsidR="006120ED" w:rsidRPr="000E460C">
        <w:rPr>
          <w:rFonts w:ascii="Times New Roman" w:hAnsi="Times New Roman" w:cs="Times New Roman"/>
          <w:iCs/>
          <w:color w:val="000000"/>
          <w:lang w:val="en-US"/>
        </w:rPr>
        <w:t>(</w:t>
      </w:r>
      <w:proofErr w:type="spellStart"/>
      <w:r w:rsidR="00F211EB" w:rsidRPr="000E460C">
        <w:rPr>
          <w:rFonts w:ascii="Times New Roman" w:hAnsi="Times New Roman" w:cs="Times New Roman"/>
          <w:color w:val="000000"/>
          <w:lang w:val="en-US"/>
        </w:rPr>
        <w:t>Vedres</w:t>
      </w:r>
      <w:proofErr w:type="spellEnd"/>
      <w:r w:rsidR="00F211EB" w:rsidRPr="000E460C">
        <w:rPr>
          <w:rFonts w:ascii="Times New Roman" w:hAnsi="Times New Roman" w:cs="Times New Roman"/>
          <w:color w:val="000000"/>
          <w:lang w:val="en-US"/>
        </w:rPr>
        <w:t xml:space="preserve"> and </w:t>
      </w:r>
      <w:r w:rsidR="006120ED" w:rsidRPr="000E460C">
        <w:rPr>
          <w:rFonts w:ascii="Times New Roman" w:hAnsi="Times New Roman" w:cs="Times New Roman"/>
          <w:color w:val="000000"/>
          <w:lang w:val="en-US"/>
        </w:rPr>
        <w:t xml:space="preserve">Stark </w:t>
      </w:r>
      <w:r w:rsidR="00D97E43" w:rsidRPr="000E460C">
        <w:rPr>
          <w:rFonts w:ascii="Times New Roman" w:hAnsi="Times New Roman" w:cs="Times New Roman"/>
          <w:color w:val="000000"/>
          <w:lang w:val="en-US"/>
        </w:rPr>
        <w:t>2010)</w:t>
      </w:r>
      <w:r w:rsidR="00FF36D5" w:rsidRPr="000E460C">
        <w:rPr>
          <w:rFonts w:ascii="Times New Roman" w:hAnsi="Times New Roman" w:cs="Times New Roman"/>
          <w:color w:val="000000"/>
          <w:lang w:val="en-US"/>
        </w:rPr>
        <w:t xml:space="preserve"> that </w:t>
      </w:r>
      <w:r w:rsidR="00F211EB" w:rsidRPr="000E460C">
        <w:rPr>
          <w:rFonts w:ascii="Times New Roman" w:hAnsi="Times New Roman" w:cs="Times New Roman"/>
          <w:color w:val="000000"/>
          <w:lang w:val="en-US"/>
        </w:rPr>
        <w:t xml:space="preserve">pointed to a distinctive position in network topology at the intersection of cohesive </w:t>
      </w:r>
      <w:r w:rsidR="00B446D9" w:rsidRPr="000E460C">
        <w:rPr>
          <w:rFonts w:ascii="Times New Roman" w:hAnsi="Times New Roman" w:cs="Times New Roman"/>
          <w:color w:val="000000"/>
          <w:lang w:val="en-US"/>
        </w:rPr>
        <w:t>communities</w:t>
      </w:r>
      <w:r w:rsidR="00F211EB" w:rsidRPr="000E460C">
        <w:rPr>
          <w:rFonts w:ascii="Times New Roman" w:hAnsi="Times New Roman" w:cs="Times New Roman"/>
          <w:color w:val="000000"/>
          <w:lang w:val="en-US"/>
        </w:rPr>
        <w:t>. Actors at the structural fold are insiders, participating in dense cohesive ties. But because they are</w:t>
      </w:r>
      <w:r w:rsidR="002360D0" w:rsidRPr="000E460C">
        <w:rPr>
          <w:rFonts w:ascii="Times New Roman" w:hAnsi="Times New Roman" w:cs="Times New Roman"/>
          <w:color w:val="000000"/>
          <w:lang w:val="en-US"/>
        </w:rPr>
        <w:t xml:space="preserve"> </w:t>
      </w:r>
      <w:r w:rsidR="00F211EB" w:rsidRPr="000E460C">
        <w:rPr>
          <w:rFonts w:ascii="Times New Roman" w:hAnsi="Times New Roman" w:cs="Times New Roman"/>
          <w:color w:val="000000"/>
          <w:lang w:val="en-US"/>
        </w:rPr>
        <w:t>simultaneously members of multiple cohesive groups, they have familiar access to diverse cognitive framewor</w:t>
      </w:r>
      <w:r w:rsidR="002427B7" w:rsidRPr="000E460C">
        <w:rPr>
          <w:rFonts w:ascii="Times New Roman" w:hAnsi="Times New Roman" w:cs="Times New Roman"/>
          <w:color w:val="000000"/>
          <w:lang w:val="en-US"/>
        </w:rPr>
        <w:t xml:space="preserve">ks available for recombination. This also </w:t>
      </w:r>
      <w:r w:rsidR="00294D4C" w:rsidRPr="000E460C">
        <w:rPr>
          <w:rFonts w:ascii="Times New Roman" w:hAnsi="Times New Roman" w:cs="Times New Roman"/>
          <w:color w:val="000000"/>
          <w:lang w:val="en-US"/>
        </w:rPr>
        <w:t xml:space="preserve">questions </w:t>
      </w:r>
      <w:r w:rsidR="00F211EB" w:rsidRPr="000E460C">
        <w:rPr>
          <w:rFonts w:ascii="Times New Roman" w:hAnsi="Times New Roman" w:cs="Times New Roman"/>
          <w:color w:val="000000"/>
          <w:lang w:val="en-US"/>
        </w:rPr>
        <w:t>the transmission model of networks (</w:t>
      </w:r>
      <w:proofErr w:type="spellStart"/>
      <w:r w:rsidR="00F211EB" w:rsidRPr="000E460C">
        <w:rPr>
          <w:rFonts w:ascii="Times New Roman" w:hAnsi="Times New Roman" w:cs="Times New Roman"/>
          <w:color w:val="000000"/>
          <w:lang w:val="en-US"/>
        </w:rPr>
        <w:t>Podolny</w:t>
      </w:r>
      <w:proofErr w:type="spellEnd"/>
      <w:r w:rsidR="00F211EB" w:rsidRPr="000E460C">
        <w:rPr>
          <w:rFonts w:ascii="Times New Roman" w:hAnsi="Times New Roman" w:cs="Times New Roman"/>
          <w:color w:val="000000"/>
          <w:lang w:val="en-US"/>
        </w:rPr>
        <w:t xml:space="preserve"> 2001) thereby challenging the deeply taken-for-granted notion that network analysis sho</w:t>
      </w:r>
      <w:r w:rsidR="009E4147" w:rsidRPr="000E460C">
        <w:rPr>
          <w:rFonts w:ascii="Times New Roman" w:hAnsi="Times New Roman" w:cs="Times New Roman"/>
          <w:color w:val="000000"/>
          <w:lang w:val="en-US"/>
        </w:rPr>
        <w:t>uld model flows of information.</w:t>
      </w:r>
    </w:p>
    <w:p w14:paraId="42F2DAE1" w14:textId="77777777" w:rsidR="00FF6DAA" w:rsidRDefault="00FF6DAA" w:rsidP="00FF6DAA">
      <w:pPr>
        <w:widowControl w:val="0"/>
        <w:autoSpaceDE w:val="0"/>
        <w:autoSpaceDN w:val="0"/>
        <w:adjustRightInd w:val="0"/>
        <w:spacing w:after="120" w:line="480" w:lineRule="auto"/>
        <w:jc w:val="both"/>
        <w:rPr>
          <w:rFonts w:ascii="Times New Roman" w:hAnsi="Times New Roman" w:cs="Times New Roman"/>
          <w:color w:val="000000"/>
          <w:lang w:val="en-US"/>
        </w:rPr>
      </w:pPr>
    </w:p>
    <w:p w14:paraId="79C3CAC4" w14:textId="1A4BFD1A" w:rsidR="00FF6DAA" w:rsidRPr="00FF6DAA" w:rsidRDefault="008728B0" w:rsidP="00FF6DAA">
      <w:pPr>
        <w:widowControl w:val="0"/>
        <w:autoSpaceDE w:val="0"/>
        <w:autoSpaceDN w:val="0"/>
        <w:adjustRightInd w:val="0"/>
        <w:spacing w:after="120" w:line="480" w:lineRule="auto"/>
        <w:jc w:val="both"/>
        <w:rPr>
          <w:rFonts w:ascii="Times New Roman" w:hAnsi="Times New Roman" w:cs="Times New Roman"/>
          <w:b/>
          <w:color w:val="000000"/>
          <w:lang w:val="en-US"/>
        </w:rPr>
      </w:pPr>
      <w:r>
        <w:rPr>
          <w:rFonts w:ascii="Times New Roman" w:hAnsi="Times New Roman" w:cs="Times New Roman"/>
          <w:b/>
          <w:color w:val="000000"/>
          <w:lang w:val="en-US"/>
        </w:rPr>
        <w:t>Goals</w:t>
      </w:r>
    </w:p>
    <w:p w14:paraId="620D550A" w14:textId="77777777" w:rsidR="00FF6DAA" w:rsidRDefault="00C633C4" w:rsidP="00FF6DAA">
      <w:pPr>
        <w:pStyle w:val="Paragrafoelenco"/>
        <w:widowControl w:val="0"/>
        <w:numPr>
          <w:ilvl w:val="0"/>
          <w:numId w:val="1"/>
        </w:numPr>
        <w:autoSpaceDE w:val="0"/>
        <w:autoSpaceDN w:val="0"/>
        <w:adjustRightInd w:val="0"/>
        <w:spacing w:after="120" w:line="480" w:lineRule="auto"/>
        <w:jc w:val="both"/>
        <w:rPr>
          <w:rFonts w:ascii="Times New Roman" w:hAnsi="Times New Roman" w:cs="Times New Roman"/>
          <w:color w:val="000000"/>
          <w:lang w:val="en-US"/>
        </w:rPr>
      </w:pPr>
      <w:r w:rsidRPr="00FF6DAA">
        <w:rPr>
          <w:rFonts w:ascii="Times New Roman" w:hAnsi="Times New Roman" w:cs="Times New Roman"/>
          <w:color w:val="000000"/>
          <w:lang w:val="en-US"/>
        </w:rPr>
        <w:t xml:space="preserve">The project </w:t>
      </w:r>
      <w:r w:rsidR="00F211EB" w:rsidRPr="00FF6DAA">
        <w:rPr>
          <w:rFonts w:ascii="Times New Roman" w:hAnsi="Times New Roman" w:cs="Times New Roman"/>
          <w:color w:val="000000"/>
          <w:lang w:val="en-US"/>
        </w:rPr>
        <w:t>propose</w:t>
      </w:r>
      <w:r w:rsidR="000A4D93" w:rsidRPr="00FF6DAA">
        <w:rPr>
          <w:rFonts w:ascii="Times New Roman" w:hAnsi="Times New Roman" w:cs="Times New Roman"/>
          <w:color w:val="000000"/>
          <w:lang w:val="en-US"/>
        </w:rPr>
        <w:t>s</w:t>
      </w:r>
      <w:r w:rsidR="00F211EB" w:rsidRPr="00FF6DAA">
        <w:rPr>
          <w:rFonts w:ascii="Times New Roman" w:hAnsi="Times New Roman" w:cs="Times New Roman"/>
          <w:color w:val="000000"/>
          <w:lang w:val="en-US"/>
        </w:rPr>
        <w:t xml:space="preserve"> to test the combined effects of structural folding and cognitive diversity for the field of music, starting with jazz recording sessions. The database will involve publicly available data from the Discogs listing which, like the list of credits for films, contains the names of the musicians from recording sessions that released at least one recording.</w:t>
      </w:r>
      <w:r w:rsidR="005A2499" w:rsidRPr="00FF6DAA">
        <w:rPr>
          <w:rFonts w:ascii="Times New Roman" w:hAnsi="Times New Roman" w:cs="Times New Roman"/>
          <w:color w:val="000000"/>
          <w:lang w:val="en-US"/>
        </w:rPr>
        <w:t xml:space="preserve"> </w:t>
      </w:r>
    </w:p>
    <w:p w14:paraId="44FF2C56" w14:textId="77777777" w:rsidR="00FF6DAA" w:rsidRDefault="00F211EB" w:rsidP="00FF6DAA">
      <w:pPr>
        <w:pStyle w:val="Paragrafoelenco"/>
        <w:widowControl w:val="0"/>
        <w:numPr>
          <w:ilvl w:val="0"/>
          <w:numId w:val="1"/>
        </w:numPr>
        <w:autoSpaceDE w:val="0"/>
        <w:autoSpaceDN w:val="0"/>
        <w:adjustRightInd w:val="0"/>
        <w:spacing w:after="120" w:line="480" w:lineRule="auto"/>
        <w:jc w:val="both"/>
        <w:rPr>
          <w:rFonts w:ascii="Times New Roman" w:hAnsi="Times New Roman" w:cs="Times New Roman"/>
          <w:color w:val="000000"/>
          <w:lang w:val="en-US"/>
        </w:rPr>
      </w:pPr>
      <w:r w:rsidRPr="00FF6DAA">
        <w:rPr>
          <w:rFonts w:ascii="Times New Roman" w:hAnsi="Times New Roman" w:cs="Times New Roman"/>
          <w:color w:val="000000"/>
          <w:lang w:val="en-US"/>
        </w:rPr>
        <w:t>The most challenging part of this project will be to capture cognitive distance. To do so, we need to have data that codes the actual musical content of the tracks released from the recording session. Fortunately, such data exist because c</w:t>
      </w:r>
      <w:r w:rsidR="00935AD4" w:rsidRPr="00FF6DAA">
        <w:rPr>
          <w:rFonts w:ascii="Times New Roman" w:hAnsi="Times New Roman" w:cs="Times New Roman"/>
          <w:color w:val="000000"/>
          <w:lang w:val="en-US"/>
        </w:rPr>
        <w:t xml:space="preserve">ompanies like Pandora, Echo Nest and Spotify </w:t>
      </w:r>
      <w:r w:rsidRPr="00FF6DAA">
        <w:rPr>
          <w:rFonts w:ascii="Times New Roman" w:hAnsi="Times New Roman" w:cs="Times New Roman"/>
          <w:color w:val="000000"/>
          <w:lang w:val="en-US"/>
        </w:rPr>
        <w:t xml:space="preserve">build their music recommendation programs precisely around such algorithms. </w:t>
      </w:r>
    </w:p>
    <w:p w14:paraId="7F6CFD13" w14:textId="7C402CAF" w:rsidR="000B54FF" w:rsidRPr="00FF6DAA" w:rsidRDefault="00F211EB" w:rsidP="00FF6DAA">
      <w:pPr>
        <w:pStyle w:val="Paragrafoelenco"/>
        <w:widowControl w:val="0"/>
        <w:numPr>
          <w:ilvl w:val="0"/>
          <w:numId w:val="1"/>
        </w:numPr>
        <w:autoSpaceDE w:val="0"/>
        <w:autoSpaceDN w:val="0"/>
        <w:adjustRightInd w:val="0"/>
        <w:spacing w:after="120" w:line="480" w:lineRule="auto"/>
        <w:jc w:val="both"/>
        <w:rPr>
          <w:rFonts w:ascii="Times New Roman" w:hAnsi="Times New Roman" w:cs="Times New Roman"/>
          <w:color w:val="000000"/>
          <w:lang w:val="en-US"/>
        </w:rPr>
      </w:pPr>
      <w:r w:rsidRPr="00FF6DAA">
        <w:rPr>
          <w:rFonts w:ascii="Times New Roman" w:hAnsi="Times New Roman" w:cs="Times New Roman"/>
          <w:color w:val="000000"/>
          <w:lang w:val="en-US"/>
        </w:rPr>
        <w:t>With these data on the stylistic elements of recordings and the names of the musicians who recorded it, we will be able to reconstruct the cognitive (stylistic) career history of each musician and thereby construct a measure of the diversity (cognitive distance) among the musicians on that recording.</w:t>
      </w:r>
    </w:p>
    <w:p w14:paraId="3382A981" w14:textId="77777777" w:rsidR="00224C97" w:rsidRPr="000E460C" w:rsidRDefault="00224C97" w:rsidP="00224C97">
      <w:pPr>
        <w:widowControl w:val="0"/>
        <w:autoSpaceDE w:val="0"/>
        <w:autoSpaceDN w:val="0"/>
        <w:adjustRightInd w:val="0"/>
        <w:spacing w:line="480" w:lineRule="auto"/>
        <w:ind w:firstLine="567"/>
        <w:jc w:val="both"/>
        <w:rPr>
          <w:rFonts w:ascii="Times New Roman" w:hAnsi="Times New Roman" w:cs="Times New Roman"/>
          <w:color w:val="000000"/>
          <w:lang w:val="en-US"/>
        </w:rPr>
      </w:pPr>
    </w:p>
    <w:p w14:paraId="62F078D8" w14:textId="7369B3C5" w:rsidR="0017693E" w:rsidRPr="00976DAA" w:rsidRDefault="0017693E" w:rsidP="00224C97">
      <w:pPr>
        <w:widowControl w:val="0"/>
        <w:autoSpaceDE w:val="0"/>
        <w:autoSpaceDN w:val="0"/>
        <w:adjustRightInd w:val="0"/>
        <w:spacing w:after="240" w:line="276" w:lineRule="auto"/>
        <w:jc w:val="center"/>
        <w:rPr>
          <w:rFonts w:ascii="Times New Roman" w:hAnsi="Times New Roman" w:cs="Times New Roman"/>
          <w:b/>
          <w:color w:val="000000"/>
          <w:sz w:val="26"/>
          <w:szCs w:val="26"/>
          <w:lang w:val="en-US"/>
        </w:rPr>
      </w:pPr>
      <w:r w:rsidRPr="00976DAA">
        <w:rPr>
          <w:rFonts w:ascii="Times New Roman" w:hAnsi="Times New Roman" w:cs="Times New Roman"/>
          <w:b/>
          <w:color w:val="000000"/>
          <w:sz w:val="26"/>
          <w:szCs w:val="26"/>
          <w:lang w:val="en-US"/>
        </w:rPr>
        <w:lastRenderedPageBreak/>
        <w:t>References</w:t>
      </w:r>
    </w:p>
    <w:p w14:paraId="792E2DDB" w14:textId="39744B0A"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r w:rsidRPr="000E460C">
        <w:rPr>
          <w:rFonts w:ascii="Times New Roman" w:hAnsi="Times New Roman" w:cs="Times New Roman"/>
          <w:color w:val="1A1A1A"/>
          <w:lang w:val="en-US"/>
        </w:rPr>
        <w:t xml:space="preserve">Beunza, D. and Stark, D., 2004. Tools of the trade: the socio-technology of arbitrage in a Wall Street trading room. </w:t>
      </w:r>
      <w:r w:rsidRPr="000E460C">
        <w:rPr>
          <w:rFonts w:ascii="Times New Roman" w:hAnsi="Times New Roman" w:cs="Times New Roman"/>
          <w:i/>
          <w:iCs/>
          <w:color w:val="1A1A1A"/>
          <w:lang w:val="en-US"/>
        </w:rPr>
        <w:t>Industrial and corporate change</w:t>
      </w:r>
      <w:r w:rsidRPr="000E460C">
        <w:rPr>
          <w:rFonts w:ascii="Times New Roman" w:hAnsi="Times New Roman" w:cs="Times New Roman"/>
          <w:color w:val="1A1A1A"/>
          <w:lang w:val="en-US"/>
        </w:rPr>
        <w:t xml:space="preserve">, </w:t>
      </w:r>
      <w:r w:rsidRPr="000E460C">
        <w:rPr>
          <w:rFonts w:ascii="Times New Roman" w:hAnsi="Times New Roman" w:cs="Times New Roman"/>
          <w:i/>
          <w:iCs/>
          <w:color w:val="1A1A1A"/>
          <w:lang w:val="en-US"/>
        </w:rPr>
        <w:t>13</w:t>
      </w:r>
      <w:r w:rsidRPr="000E460C">
        <w:rPr>
          <w:rFonts w:ascii="Times New Roman" w:hAnsi="Times New Roman" w:cs="Times New Roman"/>
          <w:color w:val="1A1A1A"/>
          <w:lang w:val="en-US"/>
        </w:rPr>
        <w:t>(2), pp.369-400.</w:t>
      </w:r>
    </w:p>
    <w:p w14:paraId="7BA21D92"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r w:rsidRPr="000E460C">
        <w:rPr>
          <w:rFonts w:ascii="Times New Roman" w:hAnsi="Times New Roman" w:cs="Times New Roman"/>
          <w:color w:val="1A1A1A"/>
          <w:lang w:val="en-US"/>
        </w:rPr>
        <w:t xml:space="preserve">Beunza, D. and Stark, D., 2012. From dissonance to resonance: Cognitive interdependence in quantitative finance. </w:t>
      </w:r>
      <w:r w:rsidRPr="000E460C">
        <w:rPr>
          <w:rFonts w:ascii="Times New Roman" w:hAnsi="Times New Roman" w:cs="Times New Roman"/>
          <w:i/>
          <w:iCs/>
          <w:color w:val="1A1A1A"/>
          <w:lang w:val="en-US"/>
        </w:rPr>
        <w:t>Economy and Society</w:t>
      </w:r>
      <w:r w:rsidRPr="000E460C">
        <w:rPr>
          <w:rFonts w:ascii="Times New Roman" w:hAnsi="Times New Roman" w:cs="Times New Roman"/>
          <w:color w:val="1A1A1A"/>
          <w:lang w:val="en-US"/>
        </w:rPr>
        <w:t xml:space="preserve">, </w:t>
      </w:r>
      <w:r w:rsidRPr="000E460C">
        <w:rPr>
          <w:rFonts w:ascii="Times New Roman" w:hAnsi="Times New Roman" w:cs="Times New Roman"/>
          <w:i/>
          <w:iCs/>
          <w:color w:val="1A1A1A"/>
          <w:lang w:val="en-US"/>
        </w:rPr>
        <w:t>41</w:t>
      </w:r>
      <w:r w:rsidRPr="000E460C">
        <w:rPr>
          <w:rFonts w:ascii="Times New Roman" w:hAnsi="Times New Roman" w:cs="Times New Roman"/>
          <w:color w:val="1A1A1A"/>
          <w:lang w:val="en-US"/>
        </w:rPr>
        <w:t>(3), pp.383-417.</w:t>
      </w:r>
    </w:p>
    <w:p w14:paraId="7A36CE49"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proofErr w:type="spellStart"/>
      <w:r w:rsidRPr="000E460C">
        <w:rPr>
          <w:rFonts w:ascii="Times New Roman" w:hAnsi="Times New Roman" w:cs="Times New Roman"/>
          <w:color w:val="000000"/>
          <w:lang w:val="en-US"/>
        </w:rPr>
        <w:t>Callon</w:t>
      </w:r>
      <w:proofErr w:type="spellEnd"/>
      <w:r w:rsidRPr="000E460C">
        <w:rPr>
          <w:rFonts w:ascii="Times New Roman" w:hAnsi="Times New Roman" w:cs="Times New Roman"/>
          <w:color w:val="000000"/>
          <w:lang w:val="en-US"/>
        </w:rPr>
        <w:t xml:space="preserve">, M. and F. </w:t>
      </w:r>
      <w:proofErr w:type="spellStart"/>
      <w:r w:rsidRPr="000E460C">
        <w:rPr>
          <w:rFonts w:ascii="Times New Roman" w:hAnsi="Times New Roman" w:cs="Times New Roman"/>
          <w:color w:val="000000"/>
          <w:lang w:val="en-US"/>
        </w:rPr>
        <w:t>Muniesa</w:t>
      </w:r>
      <w:proofErr w:type="spellEnd"/>
      <w:r w:rsidRPr="000E460C">
        <w:rPr>
          <w:rFonts w:ascii="Times New Roman" w:hAnsi="Times New Roman" w:cs="Times New Roman"/>
          <w:color w:val="000000"/>
          <w:lang w:val="en-US"/>
        </w:rPr>
        <w:t xml:space="preserve">. 2005. Peripheral Vision: Economic markets as calculative collective devices. </w:t>
      </w:r>
      <w:r w:rsidRPr="000E460C">
        <w:rPr>
          <w:rFonts w:ascii="Times New Roman" w:hAnsi="Times New Roman" w:cs="Times New Roman"/>
          <w:i/>
          <w:iCs/>
          <w:color w:val="000000"/>
          <w:lang w:val="en-US"/>
        </w:rPr>
        <w:t xml:space="preserve">Organization Studies </w:t>
      </w:r>
      <w:r w:rsidRPr="000E460C">
        <w:rPr>
          <w:rFonts w:ascii="Times New Roman" w:hAnsi="Times New Roman" w:cs="Times New Roman"/>
          <w:color w:val="000000"/>
          <w:lang w:val="en-US"/>
        </w:rPr>
        <w:t>27:1229-50.</w:t>
      </w:r>
    </w:p>
    <w:p w14:paraId="301B57FD"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r w:rsidRPr="000E460C">
        <w:rPr>
          <w:rFonts w:ascii="Times New Roman" w:hAnsi="Times New Roman" w:cs="Times New Roman"/>
          <w:color w:val="000000"/>
          <w:lang w:val="en-US"/>
        </w:rPr>
        <w:t xml:space="preserve">Cattani, G. and S. Ferriani. 2008. A Core/Periphery Perspective on Individual Creative Performance: Social Networks and Cinematic Achievements in the Hollywood Film Industry. </w:t>
      </w:r>
      <w:r w:rsidRPr="000E460C">
        <w:rPr>
          <w:rFonts w:ascii="Times New Roman" w:hAnsi="Times New Roman" w:cs="Times New Roman"/>
          <w:i/>
          <w:iCs/>
          <w:color w:val="000000"/>
          <w:lang w:val="en-US"/>
        </w:rPr>
        <w:t xml:space="preserve">Organization Science </w:t>
      </w:r>
      <w:r w:rsidRPr="000E460C">
        <w:rPr>
          <w:rFonts w:ascii="Times New Roman" w:hAnsi="Times New Roman" w:cs="Times New Roman"/>
          <w:color w:val="000000"/>
          <w:lang w:val="en-US"/>
        </w:rPr>
        <w:t>19(6):824-44.</w:t>
      </w:r>
    </w:p>
    <w:p w14:paraId="49F00C9C"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r w:rsidRPr="000E460C">
        <w:rPr>
          <w:rFonts w:ascii="Times New Roman" w:hAnsi="Times New Roman" w:cs="Times New Roman"/>
          <w:color w:val="000000"/>
          <w:lang w:val="en-US"/>
        </w:rPr>
        <w:t xml:space="preserve">Cattani, G., Ferriani, S. and P. Allison. 2014. Insiders, Outsiders and the Struggle for Consecration in Cultural Fields: A Core Periphery Perspective. </w:t>
      </w:r>
      <w:r w:rsidRPr="000E460C">
        <w:rPr>
          <w:rFonts w:ascii="Times New Roman" w:hAnsi="Times New Roman" w:cs="Times New Roman"/>
          <w:i/>
          <w:iCs/>
          <w:color w:val="000000"/>
          <w:lang w:val="en-US"/>
        </w:rPr>
        <w:t>American Sociological Review</w:t>
      </w:r>
      <w:r w:rsidRPr="000E460C">
        <w:rPr>
          <w:rFonts w:ascii="Times New Roman" w:hAnsi="Times New Roman" w:cs="Times New Roman"/>
          <w:color w:val="000000"/>
          <w:lang w:val="en-US"/>
        </w:rPr>
        <w:t>, 79(2): 258-281.</w:t>
      </w:r>
    </w:p>
    <w:p w14:paraId="1DD8BA0F"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r w:rsidRPr="000E460C">
        <w:rPr>
          <w:rFonts w:ascii="Times New Roman" w:hAnsi="Times New Roman" w:cs="Times New Roman"/>
          <w:color w:val="000000"/>
          <w:lang w:val="en-US"/>
        </w:rPr>
        <w:t xml:space="preserve">Knorr </w:t>
      </w:r>
      <w:proofErr w:type="spellStart"/>
      <w:r w:rsidRPr="000E460C">
        <w:rPr>
          <w:rFonts w:ascii="Times New Roman" w:hAnsi="Times New Roman" w:cs="Times New Roman"/>
          <w:color w:val="000000"/>
          <w:lang w:val="en-US"/>
        </w:rPr>
        <w:t>Cetina</w:t>
      </w:r>
      <w:proofErr w:type="spellEnd"/>
      <w:r w:rsidRPr="000E460C">
        <w:rPr>
          <w:rFonts w:ascii="Times New Roman" w:hAnsi="Times New Roman" w:cs="Times New Roman"/>
          <w:color w:val="000000"/>
          <w:lang w:val="en-US"/>
        </w:rPr>
        <w:t xml:space="preserve">, K. 2005. How Are Global Markets Global? The Architecture of a Flow World. Pp. 38-45 of </w:t>
      </w:r>
      <w:r w:rsidRPr="000E460C">
        <w:rPr>
          <w:rFonts w:ascii="Times New Roman" w:hAnsi="Times New Roman" w:cs="Times New Roman"/>
          <w:i/>
          <w:iCs/>
          <w:color w:val="000000"/>
          <w:lang w:val="en-US"/>
        </w:rPr>
        <w:t>The Sociology of Financial Markets</w:t>
      </w:r>
      <w:r w:rsidRPr="000E460C">
        <w:rPr>
          <w:rFonts w:ascii="Times New Roman" w:hAnsi="Times New Roman" w:cs="Times New Roman"/>
          <w:color w:val="000000"/>
          <w:lang w:val="en-US"/>
        </w:rPr>
        <w:t xml:space="preserve">. K Knorr </w:t>
      </w:r>
      <w:proofErr w:type="spellStart"/>
      <w:r w:rsidRPr="000E460C">
        <w:rPr>
          <w:rFonts w:ascii="Times New Roman" w:hAnsi="Times New Roman" w:cs="Times New Roman"/>
          <w:color w:val="000000"/>
          <w:lang w:val="en-US"/>
        </w:rPr>
        <w:t>Cetina</w:t>
      </w:r>
      <w:proofErr w:type="spellEnd"/>
      <w:r w:rsidRPr="000E460C">
        <w:rPr>
          <w:rFonts w:ascii="Times New Roman" w:hAnsi="Times New Roman" w:cs="Times New Roman"/>
          <w:color w:val="000000"/>
          <w:lang w:val="en-US"/>
        </w:rPr>
        <w:t xml:space="preserve"> and A </w:t>
      </w:r>
      <w:proofErr w:type="spellStart"/>
      <w:r w:rsidRPr="000E460C">
        <w:rPr>
          <w:rFonts w:ascii="Times New Roman" w:hAnsi="Times New Roman" w:cs="Times New Roman"/>
          <w:color w:val="000000"/>
          <w:lang w:val="en-US"/>
        </w:rPr>
        <w:t>Preda</w:t>
      </w:r>
      <w:proofErr w:type="spellEnd"/>
      <w:r w:rsidRPr="000E460C">
        <w:rPr>
          <w:rFonts w:ascii="Times New Roman" w:hAnsi="Times New Roman" w:cs="Times New Roman"/>
          <w:color w:val="000000"/>
          <w:lang w:val="en-US"/>
        </w:rPr>
        <w:t xml:space="preserve"> (</w:t>
      </w:r>
      <w:proofErr w:type="spellStart"/>
      <w:r w:rsidRPr="000E460C">
        <w:rPr>
          <w:rFonts w:ascii="Times New Roman" w:hAnsi="Times New Roman" w:cs="Times New Roman"/>
          <w:color w:val="000000"/>
          <w:lang w:val="en-US"/>
        </w:rPr>
        <w:t>eds</w:t>
      </w:r>
      <w:proofErr w:type="spellEnd"/>
      <w:r w:rsidRPr="000E460C">
        <w:rPr>
          <w:rFonts w:ascii="Times New Roman" w:hAnsi="Times New Roman" w:cs="Times New Roman"/>
          <w:color w:val="000000"/>
          <w:lang w:val="en-US"/>
        </w:rPr>
        <w:t>). Oxford University Press.</w:t>
      </w:r>
    </w:p>
    <w:p w14:paraId="2C55FD8D" w14:textId="77777777"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r w:rsidRPr="000E460C">
        <w:rPr>
          <w:rFonts w:ascii="Times New Roman" w:hAnsi="Times New Roman" w:cs="Times New Roman"/>
          <w:color w:val="000000"/>
          <w:lang w:val="en-US"/>
        </w:rPr>
        <w:t xml:space="preserve">Knorr </w:t>
      </w:r>
      <w:proofErr w:type="spellStart"/>
      <w:r w:rsidRPr="000E460C">
        <w:rPr>
          <w:rFonts w:ascii="Times New Roman" w:hAnsi="Times New Roman" w:cs="Times New Roman"/>
          <w:color w:val="000000"/>
          <w:lang w:val="en-US"/>
        </w:rPr>
        <w:t>Cetina</w:t>
      </w:r>
      <w:proofErr w:type="spellEnd"/>
      <w:r w:rsidRPr="000E460C">
        <w:rPr>
          <w:rFonts w:ascii="Times New Roman" w:hAnsi="Times New Roman" w:cs="Times New Roman"/>
          <w:color w:val="000000"/>
          <w:lang w:val="en-US"/>
        </w:rPr>
        <w:t xml:space="preserve">, K and U </w:t>
      </w:r>
      <w:proofErr w:type="spellStart"/>
      <w:r w:rsidRPr="000E460C">
        <w:rPr>
          <w:rFonts w:ascii="Times New Roman" w:hAnsi="Times New Roman" w:cs="Times New Roman"/>
          <w:color w:val="000000"/>
          <w:lang w:val="en-US"/>
        </w:rPr>
        <w:t>Bruegger</w:t>
      </w:r>
      <w:proofErr w:type="spellEnd"/>
      <w:r w:rsidRPr="000E460C">
        <w:rPr>
          <w:rFonts w:ascii="Times New Roman" w:hAnsi="Times New Roman" w:cs="Times New Roman"/>
          <w:color w:val="000000"/>
          <w:lang w:val="en-US"/>
        </w:rPr>
        <w:t xml:space="preserve">. 2002. Global Microstructures: The Virtual Societies of Financial Markets. </w:t>
      </w:r>
      <w:r w:rsidRPr="000E460C">
        <w:rPr>
          <w:rFonts w:ascii="Times New Roman" w:hAnsi="Times New Roman" w:cs="Times New Roman"/>
          <w:i/>
          <w:iCs/>
          <w:color w:val="000000"/>
          <w:lang w:val="en-US"/>
        </w:rPr>
        <w:t xml:space="preserve">American Journal of Sociology </w:t>
      </w:r>
      <w:r w:rsidRPr="000E460C">
        <w:rPr>
          <w:rFonts w:ascii="Times New Roman" w:hAnsi="Times New Roman" w:cs="Times New Roman"/>
          <w:color w:val="000000"/>
          <w:lang w:val="en-US"/>
        </w:rPr>
        <w:t>107(4): 905-950.</w:t>
      </w:r>
    </w:p>
    <w:p w14:paraId="45D4074C" w14:textId="77777777" w:rsid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proofErr w:type="spellStart"/>
      <w:r w:rsidRPr="000E460C">
        <w:rPr>
          <w:rFonts w:ascii="Times New Roman" w:hAnsi="Times New Roman" w:cs="Times New Roman"/>
          <w:color w:val="000000"/>
          <w:lang w:val="en-US"/>
        </w:rPr>
        <w:t>Lepinay</w:t>
      </w:r>
      <w:proofErr w:type="spellEnd"/>
      <w:r w:rsidRPr="000E460C">
        <w:rPr>
          <w:rFonts w:ascii="Times New Roman" w:hAnsi="Times New Roman" w:cs="Times New Roman"/>
          <w:color w:val="000000"/>
          <w:lang w:val="en-US"/>
        </w:rPr>
        <w:t xml:space="preserve">, V. 2014. </w:t>
      </w:r>
      <w:proofErr w:type="spellStart"/>
      <w:r w:rsidRPr="000E460C">
        <w:rPr>
          <w:rFonts w:ascii="Times New Roman" w:hAnsi="Times New Roman" w:cs="Times New Roman"/>
          <w:i/>
          <w:iCs/>
          <w:color w:val="000000"/>
          <w:lang w:val="en-US"/>
        </w:rPr>
        <w:t>Codesof</w:t>
      </w:r>
      <w:proofErr w:type="spellEnd"/>
      <w:r w:rsidRPr="000E460C">
        <w:rPr>
          <w:rFonts w:ascii="Times New Roman" w:hAnsi="Times New Roman" w:cs="Times New Roman"/>
          <w:i/>
          <w:iCs/>
          <w:color w:val="000000"/>
          <w:lang w:val="en-US"/>
        </w:rPr>
        <w:t xml:space="preserve"> Finance</w:t>
      </w:r>
      <w:r w:rsidRPr="000E460C">
        <w:rPr>
          <w:rFonts w:ascii="Times New Roman" w:hAnsi="Times New Roman" w:cs="Times New Roman"/>
          <w:color w:val="000000"/>
          <w:lang w:val="en-US"/>
        </w:rPr>
        <w:t>. Princeton University Press.</w:t>
      </w:r>
    </w:p>
    <w:p w14:paraId="72F55C52" w14:textId="7228D6AF" w:rsid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proofErr w:type="spellStart"/>
      <w:r w:rsidRPr="000E460C">
        <w:rPr>
          <w:rFonts w:ascii="Times New Roman" w:hAnsi="Times New Roman" w:cs="Times New Roman"/>
          <w:color w:val="000000"/>
          <w:lang w:val="en-US"/>
        </w:rPr>
        <w:t>MacKenzie</w:t>
      </w:r>
      <w:proofErr w:type="spellEnd"/>
      <w:r w:rsidRPr="000E460C">
        <w:rPr>
          <w:rFonts w:ascii="Times New Roman" w:hAnsi="Times New Roman" w:cs="Times New Roman"/>
          <w:color w:val="000000"/>
          <w:lang w:val="en-US"/>
        </w:rPr>
        <w:t xml:space="preserve">, D. 2006. </w:t>
      </w:r>
      <w:r w:rsidRPr="000E460C">
        <w:rPr>
          <w:rFonts w:ascii="Times New Roman" w:hAnsi="Times New Roman" w:cs="Times New Roman"/>
          <w:i/>
          <w:iCs/>
          <w:color w:val="000000"/>
          <w:lang w:val="en-US"/>
        </w:rPr>
        <w:t>An Engine, Not a Camera: Not a Camera: How Financial Models Shape Markets</w:t>
      </w:r>
      <w:r w:rsidRPr="000E460C">
        <w:rPr>
          <w:rFonts w:ascii="Times New Roman" w:hAnsi="Times New Roman" w:cs="Times New Roman"/>
          <w:color w:val="000000"/>
          <w:lang w:val="en-US"/>
        </w:rPr>
        <w:t>. Cambridge, MA: MIT Press.</w:t>
      </w:r>
    </w:p>
    <w:p w14:paraId="47FB5239" w14:textId="49E3AC40" w:rsid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proofErr w:type="spellStart"/>
      <w:r w:rsidRPr="000E460C">
        <w:rPr>
          <w:rFonts w:ascii="Times New Roman" w:hAnsi="Times New Roman" w:cs="Times New Roman"/>
          <w:color w:val="000000"/>
          <w:lang w:val="en-US"/>
        </w:rPr>
        <w:t>Muniesa</w:t>
      </w:r>
      <w:proofErr w:type="spellEnd"/>
      <w:r w:rsidRPr="000E460C">
        <w:rPr>
          <w:rFonts w:ascii="Times New Roman" w:hAnsi="Times New Roman" w:cs="Times New Roman"/>
          <w:color w:val="000000"/>
          <w:lang w:val="en-US"/>
        </w:rPr>
        <w:t xml:space="preserve">, F 2014. </w:t>
      </w:r>
      <w:r w:rsidRPr="000E460C">
        <w:rPr>
          <w:rFonts w:ascii="Times New Roman" w:hAnsi="Times New Roman" w:cs="Times New Roman"/>
          <w:i/>
          <w:iCs/>
          <w:color w:val="000000"/>
          <w:lang w:val="en-US"/>
        </w:rPr>
        <w:t xml:space="preserve">The Provoked Economy: Economic Reality and the Performative Turn. </w:t>
      </w:r>
      <w:r w:rsidRPr="000E460C">
        <w:rPr>
          <w:rFonts w:ascii="Times New Roman" w:hAnsi="Times New Roman" w:cs="Times New Roman"/>
          <w:color w:val="000000"/>
          <w:lang w:val="en-US"/>
        </w:rPr>
        <w:t>Routledge.</w:t>
      </w:r>
    </w:p>
    <w:p w14:paraId="369696B0" w14:textId="5E9F16D8" w:rsidR="0017693E" w:rsidRP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000000"/>
          <w:lang w:val="en-US"/>
        </w:rPr>
      </w:pPr>
      <w:proofErr w:type="spellStart"/>
      <w:r w:rsidRPr="000E460C">
        <w:rPr>
          <w:rFonts w:ascii="Times New Roman" w:hAnsi="Times New Roman" w:cs="Times New Roman"/>
          <w:color w:val="000000"/>
          <w:lang w:val="en-US"/>
        </w:rPr>
        <w:t>Nooteboom</w:t>
      </w:r>
      <w:proofErr w:type="spellEnd"/>
      <w:r w:rsidRPr="000E460C">
        <w:rPr>
          <w:rFonts w:ascii="Times New Roman" w:hAnsi="Times New Roman" w:cs="Times New Roman"/>
          <w:color w:val="000053"/>
          <w:lang w:val="en-US"/>
        </w:rPr>
        <w:t xml:space="preserve">, B. </w:t>
      </w:r>
      <w:r w:rsidRPr="000E460C">
        <w:rPr>
          <w:rFonts w:ascii="Times New Roman" w:hAnsi="Times New Roman" w:cs="Times New Roman"/>
          <w:color w:val="000000"/>
          <w:lang w:val="en-US"/>
        </w:rPr>
        <w:t xml:space="preserve">et al. 2007. Optimal cognitive distance and absorptive capacity. </w:t>
      </w:r>
      <w:r w:rsidRPr="000E460C">
        <w:rPr>
          <w:rFonts w:ascii="Times New Roman" w:hAnsi="Times New Roman" w:cs="Times New Roman"/>
          <w:i/>
          <w:iCs/>
          <w:color w:val="000000"/>
          <w:lang w:val="en-US"/>
        </w:rPr>
        <w:t xml:space="preserve">Research Policy </w:t>
      </w:r>
      <w:r w:rsidRPr="000E460C">
        <w:rPr>
          <w:rFonts w:ascii="Times New Roman" w:hAnsi="Times New Roman" w:cs="Times New Roman"/>
          <w:color w:val="000000"/>
          <w:lang w:val="en-US"/>
        </w:rPr>
        <w:t>36:1016-34.</w:t>
      </w:r>
    </w:p>
    <w:p w14:paraId="378611B2" w14:textId="77777777" w:rsidR="000E460C" w:rsidRDefault="0017693E"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roofErr w:type="spellStart"/>
      <w:r w:rsidRPr="000E460C">
        <w:rPr>
          <w:rFonts w:ascii="Times New Roman" w:hAnsi="Times New Roman" w:cs="Times New Roman"/>
          <w:color w:val="000000"/>
          <w:lang w:val="en-US"/>
        </w:rPr>
        <w:t>Podolny</w:t>
      </w:r>
      <w:proofErr w:type="spellEnd"/>
      <w:r w:rsidRPr="000E460C">
        <w:rPr>
          <w:rFonts w:ascii="Times New Roman" w:hAnsi="Times New Roman" w:cs="Times New Roman"/>
          <w:color w:val="000000"/>
          <w:lang w:val="en-US"/>
        </w:rPr>
        <w:t xml:space="preserve">, J. 2001. Networks as the Pipes and Prisms of the Market. </w:t>
      </w:r>
      <w:r w:rsidRPr="000E460C">
        <w:rPr>
          <w:rFonts w:ascii="Times New Roman" w:hAnsi="Times New Roman" w:cs="Times New Roman"/>
          <w:i/>
          <w:iCs/>
          <w:color w:val="000000"/>
          <w:lang w:val="en-US"/>
        </w:rPr>
        <w:t xml:space="preserve">Am J </w:t>
      </w:r>
      <w:proofErr w:type="spellStart"/>
      <w:r w:rsidRPr="000E460C">
        <w:rPr>
          <w:rFonts w:ascii="Times New Roman" w:hAnsi="Times New Roman" w:cs="Times New Roman"/>
          <w:i/>
          <w:iCs/>
          <w:color w:val="000000"/>
          <w:lang w:val="en-US"/>
        </w:rPr>
        <w:t>Soc</w:t>
      </w:r>
      <w:proofErr w:type="spellEnd"/>
      <w:r w:rsidRPr="000E460C">
        <w:rPr>
          <w:rFonts w:ascii="Times New Roman" w:hAnsi="Times New Roman" w:cs="Times New Roman"/>
          <w:i/>
          <w:iCs/>
          <w:color w:val="000000"/>
          <w:lang w:val="en-US"/>
        </w:rPr>
        <w:t xml:space="preserve"> </w:t>
      </w:r>
      <w:r w:rsidRPr="000E460C">
        <w:rPr>
          <w:rFonts w:ascii="Times New Roman" w:hAnsi="Times New Roman" w:cs="Times New Roman"/>
          <w:color w:val="000000"/>
          <w:lang w:val="en-US"/>
        </w:rPr>
        <w:t>107: 33 60.</w:t>
      </w:r>
    </w:p>
    <w:p w14:paraId="6AF0996C" w14:textId="70398CA2" w:rsidR="00C875DE" w:rsidRDefault="0017693E"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roofErr w:type="spellStart"/>
      <w:r w:rsidRPr="000E460C">
        <w:rPr>
          <w:rFonts w:ascii="Times New Roman" w:hAnsi="Times New Roman" w:cs="Times New Roman"/>
          <w:color w:val="1A1A1A"/>
          <w:lang w:val="en-US"/>
        </w:rPr>
        <w:t>Vedres</w:t>
      </w:r>
      <w:proofErr w:type="spellEnd"/>
      <w:r w:rsidRPr="000E460C">
        <w:rPr>
          <w:rFonts w:ascii="Times New Roman" w:hAnsi="Times New Roman" w:cs="Times New Roman"/>
          <w:color w:val="1A1A1A"/>
          <w:lang w:val="en-US"/>
        </w:rPr>
        <w:t xml:space="preserve">, B. and Stark, D., 2010. Structural Folds: Generative Disruption in Overlapping Groups 1. </w:t>
      </w:r>
      <w:r w:rsidRPr="000E460C">
        <w:rPr>
          <w:rFonts w:ascii="Times New Roman" w:hAnsi="Times New Roman" w:cs="Times New Roman"/>
          <w:i/>
          <w:iCs/>
          <w:color w:val="1A1A1A"/>
          <w:lang w:val="en-US"/>
        </w:rPr>
        <w:t>American Journal of Sociology</w:t>
      </w:r>
      <w:r w:rsidRPr="000E460C">
        <w:rPr>
          <w:rFonts w:ascii="Times New Roman" w:hAnsi="Times New Roman" w:cs="Times New Roman"/>
          <w:color w:val="1A1A1A"/>
          <w:lang w:val="en-US"/>
        </w:rPr>
        <w:t xml:space="preserve">, </w:t>
      </w:r>
      <w:r w:rsidRPr="000E460C">
        <w:rPr>
          <w:rFonts w:ascii="Times New Roman" w:hAnsi="Times New Roman" w:cs="Times New Roman"/>
          <w:i/>
          <w:iCs/>
          <w:color w:val="1A1A1A"/>
          <w:lang w:val="en-US"/>
        </w:rPr>
        <w:t>115</w:t>
      </w:r>
      <w:r w:rsidRPr="000E460C">
        <w:rPr>
          <w:rFonts w:ascii="Times New Roman" w:hAnsi="Times New Roman" w:cs="Times New Roman"/>
          <w:color w:val="1A1A1A"/>
          <w:lang w:val="en-US"/>
        </w:rPr>
        <w:t>(4), pp.1150-1190.</w:t>
      </w:r>
    </w:p>
    <w:p w14:paraId="6AD519E9" w14:textId="0C4FF19D"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71F4D226" w14:textId="582EEBE5"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1B1CA635" w14:textId="3520F5F4"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4C885C0B" w14:textId="263FFA00"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7F6689F8" w14:textId="1BC7E33C"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5E653D40" w14:textId="6CEBB2E3"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293AAB39" w14:textId="4AC76DD1"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5FCCC909" w14:textId="4E493D81" w:rsidR="008728B0" w:rsidRDefault="008728B0" w:rsidP="00224C97">
      <w:pPr>
        <w:widowControl w:val="0"/>
        <w:autoSpaceDE w:val="0"/>
        <w:autoSpaceDN w:val="0"/>
        <w:adjustRightInd w:val="0"/>
        <w:spacing w:after="120" w:line="276" w:lineRule="auto"/>
        <w:ind w:left="567" w:hanging="567"/>
        <w:rPr>
          <w:rFonts w:ascii="Times New Roman" w:hAnsi="Times New Roman" w:cs="Times New Roman"/>
          <w:color w:val="1A1A1A"/>
          <w:lang w:val="en-US"/>
        </w:rPr>
      </w:pPr>
    </w:p>
    <w:p w14:paraId="48700EFC" w14:textId="77777777" w:rsidR="008728B0" w:rsidRPr="00C87A80" w:rsidRDefault="008728B0" w:rsidP="008728B0">
      <w:pPr>
        <w:spacing w:line="276" w:lineRule="auto"/>
        <w:jc w:val="both"/>
        <w:rPr>
          <w:rFonts w:ascii="Times New Roman" w:hAnsi="Times New Roman" w:cs="Times New Roman"/>
          <w:b/>
          <w:i/>
          <w:lang w:val="en-US"/>
        </w:rPr>
      </w:pPr>
      <w:r w:rsidRPr="00C87A80">
        <w:rPr>
          <w:rFonts w:ascii="Times New Roman" w:hAnsi="Times New Roman" w:cs="Times New Roman"/>
          <w:b/>
          <w:i/>
          <w:lang w:val="en-US"/>
        </w:rPr>
        <w:t>Research Agenda and Timeline</w:t>
      </w:r>
    </w:p>
    <w:p w14:paraId="0DFBC2D3" w14:textId="77777777" w:rsidR="008728B0" w:rsidRPr="00224A9A" w:rsidRDefault="008728B0" w:rsidP="008728B0">
      <w:pPr>
        <w:spacing w:line="276" w:lineRule="auto"/>
        <w:ind w:firstLine="284"/>
        <w:jc w:val="both"/>
        <w:rPr>
          <w:rFonts w:ascii="Times New Roman" w:hAnsi="Times New Roman" w:cs="Times New Roman"/>
          <w:i/>
          <w:lang w:val="en-US"/>
        </w:rPr>
      </w:pPr>
    </w:p>
    <w:p w14:paraId="0E6DD400" w14:textId="77777777" w:rsidR="008728B0" w:rsidRPr="00997C9A" w:rsidRDefault="008728B0" w:rsidP="008728B0">
      <w:pPr>
        <w:spacing w:line="276" w:lineRule="auto"/>
        <w:jc w:val="both"/>
        <w:rPr>
          <w:rFonts w:ascii="Times New Roman" w:hAnsi="Times New Roman" w:cs="Times New Roman"/>
          <w:color w:val="000000"/>
          <w:lang w:val="en-US"/>
        </w:rPr>
      </w:pPr>
      <w:r>
        <w:rPr>
          <w:rFonts w:ascii="Times New Roman" w:hAnsi="Times New Roman" w:cs="Times New Roman"/>
          <w:lang w:val="en-US"/>
        </w:rPr>
        <w:t>Research goals mainly involve the development and finalization of</w:t>
      </w:r>
      <w:r w:rsidRPr="00085B2D">
        <w:rPr>
          <w:rFonts w:ascii="Times New Roman" w:hAnsi="Times New Roman" w:cs="Times New Roman"/>
          <w:color w:val="000000"/>
          <w:lang w:val="en-US"/>
        </w:rPr>
        <w:t xml:space="preserve"> </w:t>
      </w:r>
      <w:r>
        <w:rPr>
          <w:rFonts w:ascii="Times New Roman" w:hAnsi="Times New Roman" w:cs="Times New Roman"/>
          <w:color w:val="000000"/>
          <w:lang w:val="en-US"/>
        </w:rPr>
        <w:t>two</w:t>
      </w:r>
      <w:r w:rsidRPr="00997C9A">
        <w:rPr>
          <w:rFonts w:ascii="Times New Roman" w:hAnsi="Times New Roman" w:cs="Times New Roman"/>
          <w:color w:val="000000"/>
          <w:lang w:val="en-US"/>
        </w:rPr>
        <w:t xml:space="preserve"> </w:t>
      </w:r>
      <w:r>
        <w:rPr>
          <w:rFonts w:ascii="Times New Roman" w:hAnsi="Times New Roman" w:cs="Times New Roman"/>
          <w:color w:val="000000"/>
          <w:lang w:val="en-US"/>
        </w:rPr>
        <w:t>scientific papers</w:t>
      </w:r>
      <w:r w:rsidRPr="00997C9A">
        <w:rPr>
          <w:rFonts w:ascii="Times New Roman" w:hAnsi="Times New Roman" w:cs="Times New Roman"/>
          <w:color w:val="000000"/>
          <w:lang w:val="en-US"/>
        </w:rPr>
        <w:t xml:space="preserve"> to </w:t>
      </w:r>
      <w:proofErr w:type="gramStart"/>
      <w:r w:rsidRPr="00997C9A">
        <w:rPr>
          <w:rFonts w:ascii="Times New Roman" w:hAnsi="Times New Roman" w:cs="Times New Roman"/>
          <w:color w:val="000000"/>
          <w:lang w:val="en-US"/>
        </w:rPr>
        <w:t>be submitted</w:t>
      </w:r>
      <w:proofErr w:type="gramEnd"/>
      <w:r w:rsidRPr="00997C9A">
        <w:rPr>
          <w:rFonts w:ascii="Times New Roman" w:hAnsi="Times New Roman" w:cs="Times New Roman"/>
          <w:color w:val="000000"/>
          <w:lang w:val="en-US"/>
        </w:rPr>
        <w:t xml:space="preserve"> to top-quality journals in the field of </w:t>
      </w:r>
      <w:r>
        <w:rPr>
          <w:rFonts w:ascii="Times New Roman" w:hAnsi="Times New Roman" w:cs="Times New Roman"/>
          <w:color w:val="000000"/>
          <w:lang w:val="en-US"/>
        </w:rPr>
        <w:t>organization studies and economic sociology</w:t>
      </w:r>
      <w:r w:rsidRPr="00997C9A">
        <w:rPr>
          <w:rFonts w:ascii="Times New Roman" w:hAnsi="Times New Roman" w:cs="Times New Roman"/>
          <w:color w:val="000000"/>
          <w:lang w:val="en-US"/>
        </w:rPr>
        <w:t xml:space="preserve">. In particular, a main study </w:t>
      </w:r>
      <w:r>
        <w:rPr>
          <w:rFonts w:ascii="Times New Roman" w:hAnsi="Times New Roman" w:cs="Times New Roman"/>
          <w:color w:val="000000"/>
          <w:lang w:val="en-US"/>
        </w:rPr>
        <w:t xml:space="preserve">(from first-year topic #2) </w:t>
      </w:r>
      <w:r w:rsidRPr="00997C9A">
        <w:rPr>
          <w:rFonts w:ascii="Times New Roman" w:hAnsi="Times New Roman" w:cs="Times New Roman"/>
          <w:color w:val="000000"/>
          <w:lang w:val="en-US"/>
        </w:rPr>
        <w:t xml:space="preserve">and an ancillary study </w:t>
      </w:r>
      <w:r>
        <w:rPr>
          <w:rFonts w:ascii="Times New Roman" w:hAnsi="Times New Roman" w:cs="Times New Roman"/>
          <w:color w:val="000000"/>
          <w:lang w:val="en-US"/>
        </w:rPr>
        <w:t xml:space="preserve">(from first-year topic #1) </w:t>
      </w:r>
      <w:proofErr w:type="gramStart"/>
      <w:r w:rsidRPr="00997C9A">
        <w:rPr>
          <w:rFonts w:ascii="Times New Roman" w:hAnsi="Times New Roman" w:cs="Times New Roman"/>
          <w:color w:val="000000"/>
          <w:lang w:val="en-US"/>
        </w:rPr>
        <w:t>are expected</w:t>
      </w:r>
      <w:proofErr w:type="gramEnd"/>
      <w:r w:rsidRPr="00997C9A">
        <w:rPr>
          <w:rFonts w:ascii="Times New Roman" w:hAnsi="Times New Roman" w:cs="Times New Roman"/>
          <w:color w:val="000000"/>
          <w:lang w:val="en-US"/>
        </w:rPr>
        <w:t xml:space="preserve"> as outcome of the </w:t>
      </w:r>
      <w:r>
        <w:rPr>
          <w:rFonts w:ascii="Times New Roman" w:hAnsi="Times New Roman" w:cs="Times New Roman"/>
          <w:color w:val="000000"/>
          <w:lang w:val="en-US"/>
        </w:rPr>
        <w:t>research agenda</w:t>
      </w:r>
      <w:r w:rsidRPr="00997C9A">
        <w:rPr>
          <w:rFonts w:ascii="Times New Roman" w:hAnsi="Times New Roman" w:cs="Times New Roman"/>
          <w:color w:val="000000"/>
          <w:lang w:val="en-US"/>
        </w:rPr>
        <w:t xml:space="preserve">. The main study will consist into a </w:t>
      </w:r>
      <w:r>
        <w:rPr>
          <w:rFonts w:ascii="Times New Roman" w:hAnsi="Times New Roman" w:cs="Times New Roman"/>
          <w:color w:val="000000"/>
          <w:lang w:val="en-US"/>
        </w:rPr>
        <w:t xml:space="preserve">qualitative research on </w:t>
      </w:r>
      <w:r w:rsidRPr="00997C9A">
        <w:rPr>
          <w:rFonts w:ascii="Times New Roman" w:hAnsi="Times New Roman" w:cs="Times New Roman"/>
          <w:color w:val="000000"/>
          <w:lang w:val="en-US"/>
        </w:rPr>
        <w:t>data from cultural and creative field. It will</w:t>
      </w:r>
      <w:r>
        <w:rPr>
          <w:rFonts w:ascii="Times New Roman" w:hAnsi="Times New Roman" w:cs="Times New Roman"/>
          <w:color w:val="000000"/>
          <w:lang w:val="en-US"/>
        </w:rPr>
        <w:t xml:space="preserve"> involve participant observation and application of ethnographic methods. It will also</w:t>
      </w:r>
      <w:r w:rsidRPr="00997C9A">
        <w:rPr>
          <w:rFonts w:ascii="Times New Roman" w:hAnsi="Times New Roman" w:cs="Times New Roman"/>
          <w:color w:val="000000"/>
          <w:lang w:val="en-US"/>
        </w:rPr>
        <w:t xml:space="preserve"> involve cutting-edge instruments from historical social network analysis, as well as </w:t>
      </w:r>
      <w:r>
        <w:rPr>
          <w:rFonts w:ascii="Times New Roman" w:hAnsi="Times New Roman" w:cs="Times New Roman"/>
          <w:color w:val="000000"/>
          <w:lang w:val="en-US"/>
        </w:rPr>
        <w:t xml:space="preserve">tools for quantitative-descriptive </w:t>
      </w:r>
      <w:r w:rsidRPr="00997C9A">
        <w:rPr>
          <w:rFonts w:ascii="Times New Roman" w:hAnsi="Times New Roman" w:cs="Times New Roman"/>
          <w:color w:val="000000"/>
          <w:lang w:val="en-US"/>
        </w:rPr>
        <w:t>data analysis. The ancillary study</w:t>
      </w:r>
      <w:r>
        <w:rPr>
          <w:rFonts w:ascii="Times New Roman" w:hAnsi="Times New Roman" w:cs="Times New Roman"/>
          <w:color w:val="000000"/>
          <w:lang w:val="en-US"/>
        </w:rPr>
        <w:t xml:space="preserve"> </w:t>
      </w:r>
      <w:r w:rsidRPr="00997C9A">
        <w:rPr>
          <w:rFonts w:ascii="Times New Roman" w:hAnsi="Times New Roman" w:cs="Times New Roman"/>
          <w:color w:val="000000"/>
          <w:lang w:val="en-US"/>
        </w:rPr>
        <w:t xml:space="preserve">will cover a combination of theoretical insights, literature review, and overall contribution to the issue of </w:t>
      </w:r>
      <w:r>
        <w:rPr>
          <w:rFonts w:ascii="Times New Roman" w:hAnsi="Times New Roman" w:cs="Times New Roman"/>
          <w:color w:val="000000"/>
          <w:lang w:val="en-US"/>
        </w:rPr>
        <w:t xml:space="preserve">career </w:t>
      </w:r>
      <w:r w:rsidRPr="00997C9A">
        <w:rPr>
          <w:rFonts w:ascii="Times New Roman" w:hAnsi="Times New Roman" w:cs="Times New Roman"/>
          <w:color w:val="000000"/>
          <w:lang w:val="en-US"/>
        </w:rPr>
        <w:t>diversity. It will require in-</w:t>
      </w:r>
      <w:r>
        <w:rPr>
          <w:rFonts w:ascii="Times New Roman" w:hAnsi="Times New Roman" w:cs="Times New Roman"/>
          <w:color w:val="000000"/>
          <w:lang w:val="en-US"/>
        </w:rPr>
        <w:t>depth</w:t>
      </w:r>
      <w:r w:rsidRPr="00997C9A">
        <w:rPr>
          <w:rFonts w:ascii="Times New Roman" w:hAnsi="Times New Roman" w:cs="Times New Roman"/>
          <w:color w:val="000000"/>
          <w:lang w:val="en-US"/>
        </w:rPr>
        <w:t xml:space="preserve"> effort to link scholarly research to real-world issues – thereby helping the diffusion of scientific research outside the academic sphere.</w:t>
      </w:r>
    </w:p>
    <w:p w14:paraId="266AB215" w14:textId="77777777" w:rsidR="008728B0" w:rsidRDefault="008728B0" w:rsidP="008728B0">
      <w:pPr>
        <w:spacing w:line="276" w:lineRule="auto"/>
        <w:ind w:firstLine="284"/>
        <w:jc w:val="both"/>
        <w:rPr>
          <w:rFonts w:ascii="Times New Roman" w:hAnsi="Times New Roman" w:cs="Times New Roman"/>
          <w:color w:val="000000"/>
          <w:lang w:val="en-US"/>
        </w:rPr>
      </w:pPr>
    </w:p>
    <w:p w14:paraId="663E9E4D" w14:textId="5FD979B9" w:rsidR="008728B0" w:rsidRDefault="008728B0" w:rsidP="008728B0">
      <w:pPr>
        <w:spacing w:line="276" w:lineRule="auto"/>
        <w:ind w:firstLine="284"/>
        <w:jc w:val="both"/>
        <w:rPr>
          <w:rFonts w:ascii="Times New Roman" w:hAnsi="Times New Roman" w:cs="Times New Roman"/>
          <w:color w:val="000000"/>
          <w:lang w:val="en-US"/>
        </w:rPr>
      </w:pPr>
      <w:r w:rsidRPr="00997C9A">
        <w:rPr>
          <w:rFonts w:ascii="Times New Roman" w:hAnsi="Times New Roman" w:cs="Times New Roman"/>
          <w:color w:val="000000"/>
          <w:lang w:val="en-US"/>
        </w:rPr>
        <w:t xml:space="preserve">Table </w:t>
      </w:r>
      <w:r>
        <w:rPr>
          <w:rFonts w:ascii="Times New Roman" w:hAnsi="Times New Roman" w:cs="Times New Roman"/>
          <w:color w:val="000000"/>
          <w:lang w:val="en-US"/>
        </w:rPr>
        <w:t>1</w:t>
      </w:r>
      <w:r w:rsidRPr="00997C9A">
        <w:rPr>
          <w:rFonts w:ascii="Times New Roman" w:hAnsi="Times New Roman" w:cs="Times New Roman"/>
          <w:color w:val="000000"/>
          <w:lang w:val="en-US"/>
        </w:rPr>
        <w:t xml:space="preserve"> shows the timeline of the research project</w:t>
      </w:r>
      <w:r>
        <w:rPr>
          <w:rFonts w:ascii="Times New Roman" w:hAnsi="Times New Roman" w:cs="Times New Roman"/>
          <w:color w:val="000000"/>
          <w:lang w:val="en-US"/>
        </w:rPr>
        <w:t xml:space="preserve"> by bimonthly. </w:t>
      </w:r>
      <w:r w:rsidRPr="00997C9A">
        <w:rPr>
          <w:rFonts w:ascii="Times New Roman" w:hAnsi="Times New Roman" w:cs="Times New Roman"/>
          <w:color w:val="000000"/>
          <w:lang w:val="en-US"/>
        </w:rPr>
        <w:t xml:space="preserve">It </w:t>
      </w:r>
      <w:r>
        <w:rPr>
          <w:rFonts w:ascii="Times New Roman" w:hAnsi="Times New Roman" w:cs="Times New Roman"/>
          <w:color w:val="000000"/>
          <w:lang w:val="en-US"/>
        </w:rPr>
        <w:t>shows</w:t>
      </w:r>
      <w:r w:rsidRPr="00997C9A">
        <w:rPr>
          <w:rFonts w:ascii="Times New Roman" w:hAnsi="Times New Roman" w:cs="Times New Roman"/>
          <w:color w:val="000000"/>
          <w:lang w:val="en-US"/>
        </w:rPr>
        <w:t xml:space="preserve"> important landmarks that represent the overall goals of the </w:t>
      </w:r>
      <w:r>
        <w:rPr>
          <w:rFonts w:ascii="Times New Roman" w:hAnsi="Times New Roman" w:cs="Times New Roman"/>
          <w:color w:val="000000"/>
          <w:lang w:val="en-US"/>
        </w:rPr>
        <w:t>research</w:t>
      </w:r>
      <w:r w:rsidRPr="00997C9A">
        <w:rPr>
          <w:rFonts w:ascii="Times New Roman" w:hAnsi="Times New Roman" w:cs="Times New Roman"/>
          <w:color w:val="000000"/>
          <w:lang w:val="en-US"/>
        </w:rPr>
        <w:t>. Presentation of preliminary and consolidated results (marked as PP and DP respectively) are required for the advancement of t</w:t>
      </w:r>
      <w:bookmarkStart w:id="0" w:name="_GoBack"/>
      <w:bookmarkEnd w:id="0"/>
      <w:r w:rsidRPr="00997C9A">
        <w:rPr>
          <w:rFonts w:ascii="Times New Roman" w:hAnsi="Times New Roman" w:cs="Times New Roman"/>
          <w:color w:val="000000"/>
          <w:lang w:val="en-US"/>
        </w:rPr>
        <w:t xml:space="preserve">he research, and for contributing to the diffusion of project’s outcomes. During the </w:t>
      </w:r>
      <w:r>
        <w:rPr>
          <w:rFonts w:ascii="Times New Roman" w:hAnsi="Times New Roman" w:cs="Times New Roman"/>
          <w:color w:val="000000"/>
          <w:lang w:val="en-US"/>
        </w:rPr>
        <w:t xml:space="preserve">mid and </w:t>
      </w:r>
      <w:r w:rsidRPr="00997C9A">
        <w:rPr>
          <w:rFonts w:ascii="Times New Roman" w:hAnsi="Times New Roman" w:cs="Times New Roman"/>
          <w:color w:val="000000"/>
          <w:lang w:val="en-US"/>
        </w:rPr>
        <w:t xml:space="preserve">final </w:t>
      </w:r>
      <w:r>
        <w:rPr>
          <w:rFonts w:ascii="Times New Roman" w:hAnsi="Times New Roman" w:cs="Times New Roman"/>
          <w:color w:val="000000"/>
          <w:lang w:val="en-US"/>
        </w:rPr>
        <w:t>bimonthly periods</w:t>
      </w:r>
      <w:r w:rsidRPr="00997C9A">
        <w:rPr>
          <w:rFonts w:ascii="Times New Roman" w:hAnsi="Times New Roman" w:cs="Times New Roman"/>
          <w:color w:val="000000"/>
          <w:lang w:val="en-US"/>
        </w:rPr>
        <w:t xml:space="preserve"> of </w:t>
      </w:r>
      <w:proofErr w:type="gramStart"/>
      <w:r>
        <w:rPr>
          <w:rFonts w:ascii="Times New Roman" w:hAnsi="Times New Roman" w:cs="Times New Roman"/>
          <w:color w:val="000000"/>
          <w:lang w:val="en-US"/>
        </w:rPr>
        <w:t>20</w:t>
      </w:r>
      <w:r w:rsidR="002A428B">
        <w:rPr>
          <w:rFonts w:ascii="Times New Roman" w:hAnsi="Times New Roman" w:cs="Times New Roman"/>
          <w:color w:val="000000"/>
          <w:lang w:val="en-US"/>
        </w:rPr>
        <w:t>21</w:t>
      </w:r>
      <w:proofErr w:type="gramEnd"/>
      <w:r>
        <w:rPr>
          <w:rFonts w:ascii="Times New Roman" w:hAnsi="Times New Roman" w:cs="Times New Roman"/>
          <w:color w:val="000000"/>
          <w:lang w:val="en-US"/>
        </w:rPr>
        <w:t xml:space="preserve"> </w:t>
      </w:r>
      <w:r w:rsidRPr="00997C9A">
        <w:rPr>
          <w:rFonts w:ascii="Times New Roman" w:hAnsi="Times New Roman" w:cs="Times New Roman"/>
          <w:color w:val="000000"/>
          <w:lang w:val="en-US"/>
        </w:rPr>
        <w:t xml:space="preserve">the two studies resulting from the </w:t>
      </w:r>
      <w:r>
        <w:rPr>
          <w:rFonts w:ascii="Times New Roman" w:hAnsi="Times New Roman" w:cs="Times New Roman"/>
          <w:color w:val="000000"/>
          <w:lang w:val="en-US"/>
        </w:rPr>
        <w:t>research period</w:t>
      </w:r>
      <w:r w:rsidRPr="00997C9A">
        <w:rPr>
          <w:rFonts w:ascii="Times New Roman" w:hAnsi="Times New Roman" w:cs="Times New Roman"/>
          <w:color w:val="000000"/>
          <w:lang w:val="en-US"/>
        </w:rPr>
        <w:t xml:space="preserve"> have to be finalized in the form of papers (goal marked as SP in Table 2). Each paper will be written in English, and conform to the highest standards required from scholarly research.</w:t>
      </w:r>
    </w:p>
    <w:p w14:paraId="0B4BE58A" w14:textId="77777777" w:rsidR="008728B0" w:rsidRDefault="008728B0" w:rsidP="008728B0">
      <w:pPr>
        <w:rPr>
          <w:lang w:val="en-US"/>
        </w:rPr>
      </w:pPr>
    </w:p>
    <w:p w14:paraId="79B19261" w14:textId="77777777" w:rsidR="008728B0" w:rsidRDefault="008728B0" w:rsidP="008728B0">
      <w:pPr>
        <w:rPr>
          <w:lang w:val="en-US"/>
        </w:rPr>
      </w:pPr>
    </w:p>
    <w:tbl>
      <w:tblPr>
        <w:tblStyle w:val="Grigliatabella"/>
        <w:tblW w:w="9360"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
        <w:gridCol w:w="2562"/>
        <w:gridCol w:w="972"/>
        <w:gridCol w:w="972"/>
        <w:gridCol w:w="972"/>
        <w:gridCol w:w="972"/>
        <w:gridCol w:w="972"/>
        <w:gridCol w:w="972"/>
      </w:tblGrid>
      <w:tr w:rsidR="008728B0" w:rsidRPr="004374F3" w14:paraId="082DA7D8" w14:textId="77777777" w:rsidTr="00DA6FFC">
        <w:trPr>
          <w:trHeight w:val="285"/>
        </w:trPr>
        <w:tc>
          <w:tcPr>
            <w:tcW w:w="3528" w:type="dxa"/>
            <w:gridSpan w:val="2"/>
            <w:tcBorders>
              <w:right w:val="single" w:sz="4" w:space="0" w:color="auto"/>
            </w:tcBorders>
          </w:tcPr>
          <w:p w14:paraId="2C499CBC" w14:textId="77777777" w:rsidR="008728B0" w:rsidRPr="004374F3" w:rsidRDefault="008728B0" w:rsidP="00DA6FFC">
            <w:pPr>
              <w:rPr>
                <w:sz w:val="21"/>
                <w:szCs w:val="21"/>
                <w:lang w:val="en-US"/>
              </w:rPr>
            </w:pPr>
            <w:r>
              <w:rPr>
                <w:b/>
                <w:lang w:val="en-US"/>
              </w:rPr>
              <w:t>Table 2. TIMETABLE</w:t>
            </w:r>
          </w:p>
        </w:tc>
        <w:tc>
          <w:tcPr>
            <w:tcW w:w="2916" w:type="dxa"/>
            <w:gridSpan w:val="3"/>
            <w:tcBorders>
              <w:top w:val="single" w:sz="4" w:space="0" w:color="auto"/>
              <w:left w:val="single" w:sz="4" w:space="0" w:color="auto"/>
              <w:bottom w:val="dashSmallGap" w:sz="4" w:space="0" w:color="auto"/>
              <w:right w:val="single" w:sz="4" w:space="0" w:color="auto"/>
            </w:tcBorders>
            <w:vAlign w:val="center"/>
          </w:tcPr>
          <w:p w14:paraId="1F0E97C3" w14:textId="77777777" w:rsidR="008728B0" w:rsidRPr="004374F3" w:rsidRDefault="008728B0" w:rsidP="00DA6FFC">
            <w:pPr>
              <w:jc w:val="center"/>
              <w:rPr>
                <w:sz w:val="21"/>
                <w:szCs w:val="21"/>
                <w:lang w:val="en-US"/>
              </w:rPr>
            </w:pPr>
            <w:r>
              <w:rPr>
                <w:sz w:val="21"/>
                <w:szCs w:val="21"/>
                <w:lang w:val="en-US"/>
              </w:rPr>
              <w:t>Semester 1</w:t>
            </w:r>
          </w:p>
        </w:tc>
        <w:tc>
          <w:tcPr>
            <w:tcW w:w="2916" w:type="dxa"/>
            <w:gridSpan w:val="3"/>
            <w:tcBorders>
              <w:top w:val="single" w:sz="4" w:space="0" w:color="auto"/>
              <w:left w:val="single" w:sz="4" w:space="0" w:color="auto"/>
              <w:bottom w:val="dashSmallGap" w:sz="4" w:space="0" w:color="auto"/>
              <w:right w:val="single" w:sz="4" w:space="0" w:color="auto"/>
            </w:tcBorders>
            <w:vAlign w:val="center"/>
          </w:tcPr>
          <w:p w14:paraId="0DE0E7EA" w14:textId="77777777" w:rsidR="008728B0" w:rsidRPr="004374F3" w:rsidRDefault="008728B0" w:rsidP="00DA6FFC">
            <w:pPr>
              <w:jc w:val="center"/>
              <w:rPr>
                <w:sz w:val="21"/>
                <w:szCs w:val="21"/>
                <w:lang w:val="en-US"/>
              </w:rPr>
            </w:pPr>
            <w:r>
              <w:rPr>
                <w:sz w:val="21"/>
                <w:szCs w:val="21"/>
                <w:lang w:val="en-US"/>
              </w:rPr>
              <w:t>Semester 2</w:t>
            </w:r>
          </w:p>
        </w:tc>
      </w:tr>
      <w:tr w:rsidR="008728B0" w:rsidRPr="004374F3" w14:paraId="465F2BBB" w14:textId="77777777" w:rsidTr="00DA6FFC">
        <w:trPr>
          <w:trHeight w:val="255"/>
        </w:trPr>
        <w:tc>
          <w:tcPr>
            <w:tcW w:w="966" w:type="dxa"/>
            <w:tcBorders>
              <w:bottom w:val="single" w:sz="4" w:space="0" w:color="auto"/>
            </w:tcBorders>
          </w:tcPr>
          <w:p w14:paraId="5A8CC6E9" w14:textId="77777777" w:rsidR="008728B0" w:rsidRPr="004374F3" w:rsidRDefault="008728B0" w:rsidP="00DA6FFC">
            <w:pPr>
              <w:rPr>
                <w:sz w:val="21"/>
                <w:szCs w:val="21"/>
                <w:lang w:val="en-US"/>
              </w:rPr>
            </w:pPr>
          </w:p>
        </w:tc>
        <w:tc>
          <w:tcPr>
            <w:tcW w:w="2561" w:type="dxa"/>
            <w:tcBorders>
              <w:bottom w:val="single" w:sz="4" w:space="0" w:color="auto"/>
              <w:right w:val="single" w:sz="4" w:space="0" w:color="auto"/>
            </w:tcBorders>
          </w:tcPr>
          <w:p w14:paraId="65B7B062" w14:textId="77777777" w:rsidR="008728B0" w:rsidRPr="004374F3" w:rsidRDefault="008728B0" w:rsidP="00DA6FFC">
            <w:pPr>
              <w:rPr>
                <w:sz w:val="21"/>
                <w:szCs w:val="21"/>
                <w:lang w:val="en-US"/>
              </w:rPr>
            </w:pPr>
          </w:p>
        </w:tc>
        <w:tc>
          <w:tcPr>
            <w:tcW w:w="972" w:type="dxa"/>
            <w:tcBorders>
              <w:top w:val="dashSmallGap" w:sz="4" w:space="0" w:color="auto"/>
              <w:left w:val="single" w:sz="4" w:space="0" w:color="auto"/>
              <w:bottom w:val="single" w:sz="4" w:space="0" w:color="auto"/>
            </w:tcBorders>
            <w:vAlign w:val="center"/>
          </w:tcPr>
          <w:p w14:paraId="52F69457" w14:textId="77777777" w:rsidR="008728B0" w:rsidRPr="004374F3" w:rsidRDefault="008728B0" w:rsidP="00DA6FFC">
            <w:pPr>
              <w:jc w:val="center"/>
              <w:rPr>
                <w:sz w:val="21"/>
                <w:szCs w:val="21"/>
                <w:lang w:val="en-US"/>
              </w:rPr>
            </w:pPr>
            <w:r>
              <w:rPr>
                <w:sz w:val="21"/>
                <w:szCs w:val="21"/>
                <w:lang w:val="en-US"/>
              </w:rPr>
              <w:t>B1</w:t>
            </w:r>
          </w:p>
        </w:tc>
        <w:tc>
          <w:tcPr>
            <w:tcW w:w="972" w:type="dxa"/>
            <w:tcBorders>
              <w:top w:val="dashSmallGap" w:sz="4" w:space="0" w:color="auto"/>
              <w:bottom w:val="single" w:sz="4" w:space="0" w:color="auto"/>
            </w:tcBorders>
            <w:vAlign w:val="center"/>
          </w:tcPr>
          <w:p w14:paraId="58A5A74B" w14:textId="77777777" w:rsidR="008728B0" w:rsidRPr="004374F3" w:rsidRDefault="008728B0" w:rsidP="00DA6FFC">
            <w:pPr>
              <w:jc w:val="center"/>
              <w:rPr>
                <w:sz w:val="21"/>
                <w:szCs w:val="21"/>
                <w:lang w:val="en-US"/>
              </w:rPr>
            </w:pPr>
            <w:r>
              <w:rPr>
                <w:sz w:val="21"/>
                <w:szCs w:val="21"/>
                <w:lang w:val="en-US"/>
              </w:rPr>
              <w:t>B2</w:t>
            </w:r>
          </w:p>
        </w:tc>
        <w:tc>
          <w:tcPr>
            <w:tcW w:w="972" w:type="dxa"/>
            <w:tcBorders>
              <w:top w:val="dashSmallGap" w:sz="4" w:space="0" w:color="auto"/>
              <w:bottom w:val="single" w:sz="4" w:space="0" w:color="auto"/>
              <w:right w:val="single" w:sz="4" w:space="0" w:color="auto"/>
            </w:tcBorders>
            <w:vAlign w:val="center"/>
          </w:tcPr>
          <w:p w14:paraId="660FD258" w14:textId="77777777" w:rsidR="008728B0" w:rsidRPr="004374F3" w:rsidRDefault="008728B0" w:rsidP="00DA6FFC">
            <w:pPr>
              <w:jc w:val="center"/>
              <w:rPr>
                <w:sz w:val="21"/>
                <w:szCs w:val="21"/>
                <w:lang w:val="en-US"/>
              </w:rPr>
            </w:pPr>
            <w:r>
              <w:rPr>
                <w:sz w:val="21"/>
                <w:szCs w:val="21"/>
                <w:lang w:val="en-US"/>
              </w:rPr>
              <w:t>B3</w:t>
            </w:r>
          </w:p>
        </w:tc>
        <w:tc>
          <w:tcPr>
            <w:tcW w:w="972" w:type="dxa"/>
            <w:tcBorders>
              <w:left w:val="single" w:sz="4" w:space="0" w:color="auto"/>
              <w:bottom w:val="single" w:sz="4" w:space="0" w:color="auto"/>
            </w:tcBorders>
            <w:vAlign w:val="center"/>
          </w:tcPr>
          <w:p w14:paraId="08055B9B" w14:textId="77777777" w:rsidR="008728B0" w:rsidRPr="004374F3" w:rsidRDefault="008728B0" w:rsidP="00DA6FFC">
            <w:pPr>
              <w:jc w:val="center"/>
              <w:rPr>
                <w:sz w:val="21"/>
                <w:szCs w:val="21"/>
                <w:lang w:val="en-US"/>
              </w:rPr>
            </w:pPr>
            <w:r>
              <w:rPr>
                <w:sz w:val="21"/>
                <w:szCs w:val="21"/>
                <w:lang w:val="en-US"/>
              </w:rPr>
              <w:t>B</w:t>
            </w:r>
            <w:r w:rsidRPr="004374F3">
              <w:rPr>
                <w:sz w:val="21"/>
                <w:szCs w:val="21"/>
                <w:lang w:val="en-US"/>
              </w:rPr>
              <w:t>1</w:t>
            </w:r>
          </w:p>
        </w:tc>
        <w:tc>
          <w:tcPr>
            <w:tcW w:w="972" w:type="dxa"/>
            <w:tcBorders>
              <w:bottom w:val="single" w:sz="4" w:space="0" w:color="auto"/>
            </w:tcBorders>
            <w:vAlign w:val="center"/>
          </w:tcPr>
          <w:p w14:paraId="5097F06C" w14:textId="77777777" w:rsidR="008728B0" w:rsidRPr="004374F3" w:rsidRDefault="008728B0" w:rsidP="00DA6FFC">
            <w:pPr>
              <w:jc w:val="center"/>
              <w:rPr>
                <w:sz w:val="21"/>
                <w:szCs w:val="21"/>
                <w:lang w:val="en-US"/>
              </w:rPr>
            </w:pPr>
            <w:r>
              <w:rPr>
                <w:sz w:val="21"/>
                <w:szCs w:val="21"/>
                <w:lang w:val="en-US"/>
              </w:rPr>
              <w:t>B</w:t>
            </w:r>
            <w:r w:rsidRPr="004374F3">
              <w:rPr>
                <w:sz w:val="21"/>
                <w:szCs w:val="21"/>
                <w:lang w:val="en-US"/>
              </w:rPr>
              <w:t>2</w:t>
            </w:r>
          </w:p>
        </w:tc>
        <w:tc>
          <w:tcPr>
            <w:tcW w:w="972" w:type="dxa"/>
            <w:tcBorders>
              <w:top w:val="dashSmallGap" w:sz="4" w:space="0" w:color="auto"/>
              <w:bottom w:val="single" w:sz="4" w:space="0" w:color="auto"/>
              <w:right w:val="single" w:sz="4" w:space="0" w:color="auto"/>
            </w:tcBorders>
            <w:vAlign w:val="center"/>
          </w:tcPr>
          <w:p w14:paraId="6FEF3207" w14:textId="77777777" w:rsidR="008728B0" w:rsidRPr="004374F3" w:rsidRDefault="008728B0" w:rsidP="00DA6FFC">
            <w:pPr>
              <w:jc w:val="center"/>
              <w:rPr>
                <w:sz w:val="21"/>
                <w:szCs w:val="21"/>
                <w:lang w:val="en-US"/>
              </w:rPr>
            </w:pPr>
            <w:r>
              <w:rPr>
                <w:sz w:val="21"/>
                <w:szCs w:val="21"/>
                <w:lang w:val="en-US"/>
              </w:rPr>
              <w:t>B</w:t>
            </w:r>
            <w:r w:rsidRPr="004374F3">
              <w:rPr>
                <w:sz w:val="21"/>
                <w:szCs w:val="21"/>
                <w:lang w:val="en-US"/>
              </w:rPr>
              <w:t>3</w:t>
            </w:r>
          </w:p>
        </w:tc>
      </w:tr>
      <w:tr w:rsidR="008728B0" w:rsidRPr="004374F3" w14:paraId="6C5C0E0D" w14:textId="77777777" w:rsidTr="00DA6FFC">
        <w:trPr>
          <w:trHeight w:val="255"/>
        </w:trPr>
        <w:tc>
          <w:tcPr>
            <w:tcW w:w="966" w:type="dxa"/>
            <w:tcBorders>
              <w:top w:val="single" w:sz="4" w:space="0" w:color="auto"/>
              <w:left w:val="single" w:sz="4" w:space="0" w:color="auto"/>
              <w:bottom w:val="single" w:sz="4" w:space="0" w:color="auto"/>
            </w:tcBorders>
          </w:tcPr>
          <w:p w14:paraId="4C1D8212" w14:textId="77777777" w:rsidR="008728B0" w:rsidRPr="001D3582" w:rsidRDefault="008728B0" w:rsidP="00DA6FFC">
            <w:pPr>
              <w:rPr>
                <w:b/>
                <w:sz w:val="21"/>
                <w:szCs w:val="21"/>
                <w:lang w:val="en-US"/>
              </w:rPr>
            </w:pPr>
            <w:r w:rsidRPr="001D3582">
              <w:rPr>
                <w:b/>
                <w:sz w:val="21"/>
                <w:szCs w:val="21"/>
                <w:lang w:val="en-US"/>
              </w:rPr>
              <w:t>Study #1</w:t>
            </w:r>
          </w:p>
        </w:tc>
        <w:tc>
          <w:tcPr>
            <w:tcW w:w="2561" w:type="dxa"/>
            <w:tcBorders>
              <w:top w:val="single" w:sz="4" w:space="0" w:color="auto"/>
              <w:bottom w:val="single" w:sz="4" w:space="0" w:color="auto"/>
              <w:right w:val="dashSmallGap" w:sz="4" w:space="0" w:color="auto"/>
            </w:tcBorders>
          </w:tcPr>
          <w:p w14:paraId="2313BDEA" w14:textId="77777777" w:rsidR="008728B0" w:rsidRPr="004374F3" w:rsidRDefault="008728B0" w:rsidP="00DA6FFC">
            <w:pPr>
              <w:rPr>
                <w:sz w:val="21"/>
                <w:szCs w:val="21"/>
                <w:lang w:val="en-US"/>
              </w:rPr>
            </w:pPr>
            <w:r>
              <w:rPr>
                <w:sz w:val="21"/>
                <w:szCs w:val="21"/>
                <w:lang w:val="en-US"/>
              </w:rPr>
              <w:t>(Main Study)</w:t>
            </w:r>
          </w:p>
        </w:tc>
        <w:tc>
          <w:tcPr>
            <w:tcW w:w="972" w:type="dxa"/>
            <w:tcBorders>
              <w:top w:val="single" w:sz="4" w:space="0" w:color="auto"/>
              <w:left w:val="dashSmallGap" w:sz="4" w:space="0" w:color="auto"/>
              <w:bottom w:val="single" w:sz="4" w:space="0" w:color="auto"/>
              <w:right w:val="dashSmallGap" w:sz="4" w:space="0" w:color="auto"/>
            </w:tcBorders>
            <w:shd w:val="clear" w:color="auto" w:fill="F7CAAC" w:themeFill="accent2" w:themeFillTint="66"/>
          </w:tcPr>
          <w:p w14:paraId="47697786" w14:textId="77777777" w:rsidR="008728B0" w:rsidRPr="004374F3" w:rsidRDefault="008728B0" w:rsidP="00DA6FFC">
            <w:pPr>
              <w:rPr>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F7CAAC" w:themeFill="accent2" w:themeFillTint="66"/>
          </w:tcPr>
          <w:p w14:paraId="341B2E64" w14:textId="77777777" w:rsidR="008728B0" w:rsidRPr="004374F3" w:rsidRDefault="008728B0" w:rsidP="00DA6FFC">
            <w:pPr>
              <w:rPr>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FFE599" w:themeFill="accent4" w:themeFillTint="66"/>
          </w:tcPr>
          <w:p w14:paraId="11CF7C96" w14:textId="77777777" w:rsidR="008728B0" w:rsidRPr="008009C5" w:rsidRDefault="008728B0" w:rsidP="00DA6FFC">
            <w:pPr>
              <w:jc w:val="right"/>
              <w:rPr>
                <w:b/>
                <w:sz w:val="21"/>
                <w:szCs w:val="21"/>
                <w:lang w:val="en-US"/>
              </w:rPr>
            </w:pPr>
            <w:r w:rsidRPr="008009C5">
              <w:rPr>
                <w:b/>
                <w:sz w:val="21"/>
                <w:szCs w:val="21"/>
                <w:lang w:val="en-US"/>
              </w:rPr>
              <w:t>PP</w:t>
            </w:r>
          </w:p>
        </w:tc>
        <w:tc>
          <w:tcPr>
            <w:tcW w:w="972" w:type="dxa"/>
            <w:tcBorders>
              <w:top w:val="single" w:sz="4" w:space="0" w:color="auto"/>
              <w:left w:val="dashSmallGap" w:sz="4" w:space="0" w:color="auto"/>
              <w:bottom w:val="single" w:sz="4" w:space="0" w:color="auto"/>
              <w:right w:val="dashSmallGap" w:sz="4" w:space="0" w:color="auto"/>
            </w:tcBorders>
            <w:shd w:val="clear" w:color="auto" w:fill="FFE599" w:themeFill="accent4" w:themeFillTint="66"/>
          </w:tcPr>
          <w:p w14:paraId="5FEB3A31" w14:textId="77777777" w:rsidR="008728B0" w:rsidRPr="00C56007" w:rsidRDefault="008728B0" w:rsidP="00DA6FFC">
            <w:pPr>
              <w:jc w:val="right"/>
              <w:rPr>
                <w:b/>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C5E0B3" w:themeFill="accent6" w:themeFillTint="66"/>
          </w:tcPr>
          <w:p w14:paraId="5E245060" w14:textId="77777777" w:rsidR="008728B0" w:rsidRPr="00C56007" w:rsidRDefault="008728B0" w:rsidP="00DA6FFC">
            <w:pPr>
              <w:jc w:val="right"/>
              <w:rPr>
                <w:b/>
                <w:sz w:val="21"/>
                <w:szCs w:val="21"/>
                <w:lang w:val="en-US"/>
              </w:rPr>
            </w:pPr>
            <w:r>
              <w:rPr>
                <w:b/>
                <w:sz w:val="21"/>
                <w:szCs w:val="21"/>
                <w:lang w:val="en-US"/>
              </w:rPr>
              <w:t xml:space="preserve">CP   </w:t>
            </w:r>
            <w:r w:rsidRPr="00BB3CCD">
              <w:rPr>
                <w:sz w:val="21"/>
                <w:szCs w:val="21"/>
                <w:lang w:val="en-US"/>
              </w:rPr>
              <w:t>/</w:t>
            </w:r>
            <w:r>
              <w:rPr>
                <w:b/>
                <w:sz w:val="21"/>
                <w:szCs w:val="21"/>
                <w:lang w:val="en-US"/>
              </w:rPr>
              <w:t xml:space="preserve">   SP</w:t>
            </w:r>
          </w:p>
        </w:tc>
        <w:tc>
          <w:tcPr>
            <w:tcW w:w="972" w:type="dxa"/>
            <w:tcBorders>
              <w:top w:val="single" w:sz="4" w:space="0" w:color="auto"/>
              <w:left w:val="dashSmallGap" w:sz="4" w:space="0" w:color="auto"/>
              <w:bottom w:val="single" w:sz="4" w:space="0" w:color="auto"/>
              <w:right w:val="dashSmallGap" w:sz="4" w:space="0" w:color="auto"/>
            </w:tcBorders>
            <w:shd w:val="clear" w:color="auto" w:fill="C5E0B3" w:themeFill="accent6" w:themeFillTint="66"/>
          </w:tcPr>
          <w:p w14:paraId="322C6644" w14:textId="77777777" w:rsidR="008728B0" w:rsidRPr="00C56007" w:rsidRDefault="008728B0" w:rsidP="00DA6FFC">
            <w:pPr>
              <w:jc w:val="right"/>
              <w:rPr>
                <w:b/>
                <w:sz w:val="21"/>
                <w:szCs w:val="21"/>
                <w:lang w:val="en-US"/>
              </w:rPr>
            </w:pPr>
          </w:p>
        </w:tc>
      </w:tr>
      <w:tr w:rsidR="008728B0" w:rsidRPr="004374F3" w14:paraId="28CD5FD6" w14:textId="77777777" w:rsidTr="00DA6FFC">
        <w:trPr>
          <w:trHeight w:val="222"/>
        </w:trPr>
        <w:tc>
          <w:tcPr>
            <w:tcW w:w="966" w:type="dxa"/>
            <w:tcBorders>
              <w:top w:val="single" w:sz="4" w:space="0" w:color="auto"/>
              <w:left w:val="single" w:sz="4" w:space="0" w:color="auto"/>
              <w:bottom w:val="single" w:sz="4" w:space="0" w:color="auto"/>
            </w:tcBorders>
          </w:tcPr>
          <w:p w14:paraId="2293F047" w14:textId="77777777" w:rsidR="008728B0" w:rsidRPr="001D3582" w:rsidRDefault="008728B0" w:rsidP="00DA6FFC">
            <w:pPr>
              <w:rPr>
                <w:b/>
                <w:sz w:val="21"/>
                <w:szCs w:val="21"/>
                <w:lang w:val="en-US"/>
              </w:rPr>
            </w:pPr>
            <w:r w:rsidRPr="001D3582">
              <w:rPr>
                <w:b/>
                <w:sz w:val="21"/>
                <w:szCs w:val="21"/>
                <w:lang w:val="en-US"/>
              </w:rPr>
              <w:t>Study #2</w:t>
            </w:r>
          </w:p>
        </w:tc>
        <w:tc>
          <w:tcPr>
            <w:tcW w:w="2561" w:type="dxa"/>
            <w:tcBorders>
              <w:top w:val="single" w:sz="4" w:space="0" w:color="auto"/>
              <w:bottom w:val="single" w:sz="4" w:space="0" w:color="auto"/>
              <w:right w:val="dashSmallGap" w:sz="4" w:space="0" w:color="auto"/>
            </w:tcBorders>
          </w:tcPr>
          <w:p w14:paraId="20758878" w14:textId="77777777" w:rsidR="008728B0" w:rsidRPr="004374F3" w:rsidRDefault="008728B0" w:rsidP="00DA6FFC">
            <w:pPr>
              <w:rPr>
                <w:sz w:val="21"/>
                <w:szCs w:val="21"/>
                <w:lang w:val="en-US"/>
              </w:rPr>
            </w:pPr>
            <w:r>
              <w:rPr>
                <w:sz w:val="21"/>
                <w:szCs w:val="21"/>
                <w:lang w:val="en-US"/>
              </w:rPr>
              <w:t>(Ancillary Study)</w:t>
            </w:r>
          </w:p>
        </w:tc>
        <w:tc>
          <w:tcPr>
            <w:tcW w:w="972" w:type="dxa"/>
            <w:tcBorders>
              <w:top w:val="single" w:sz="4" w:space="0" w:color="auto"/>
              <w:left w:val="dashSmallGap" w:sz="4" w:space="0" w:color="auto"/>
              <w:bottom w:val="single" w:sz="4" w:space="0" w:color="auto"/>
              <w:right w:val="dashSmallGap" w:sz="4" w:space="0" w:color="auto"/>
            </w:tcBorders>
          </w:tcPr>
          <w:p w14:paraId="580131AB" w14:textId="77777777" w:rsidR="008728B0" w:rsidRPr="004374F3" w:rsidRDefault="008728B0" w:rsidP="00DA6FFC">
            <w:pPr>
              <w:rPr>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F7CAAC" w:themeFill="accent2" w:themeFillTint="66"/>
          </w:tcPr>
          <w:p w14:paraId="40DB514D" w14:textId="77777777" w:rsidR="008728B0" w:rsidRPr="004374F3" w:rsidRDefault="008728B0" w:rsidP="00DA6FFC">
            <w:pPr>
              <w:rPr>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F7CAAC" w:themeFill="accent2" w:themeFillTint="66"/>
          </w:tcPr>
          <w:p w14:paraId="38CACB31" w14:textId="77777777" w:rsidR="008728B0" w:rsidRPr="004374F3" w:rsidRDefault="008728B0" w:rsidP="00DA6FFC">
            <w:pPr>
              <w:rPr>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FFE599" w:themeFill="accent4" w:themeFillTint="66"/>
          </w:tcPr>
          <w:p w14:paraId="56E1F6EF" w14:textId="77777777" w:rsidR="008728B0" w:rsidRPr="00C56007" w:rsidRDefault="008728B0" w:rsidP="00DA6FFC">
            <w:pPr>
              <w:jc w:val="right"/>
              <w:rPr>
                <w:b/>
                <w:sz w:val="21"/>
                <w:szCs w:val="21"/>
                <w:lang w:val="en-US"/>
              </w:rPr>
            </w:pPr>
            <w:r>
              <w:rPr>
                <w:b/>
                <w:sz w:val="21"/>
                <w:szCs w:val="21"/>
                <w:lang w:val="en-US"/>
              </w:rPr>
              <w:t>PP</w:t>
            </w:r>
          </w:p>
        </w:tc>
        <w:tc>
          <w:tcPr>
            <w:tcW w:w="972" w:type="dxa"/>
            <w:tcBorders>
              <w:top w:val="single" w:sz="4" w:space="0" w:color="auto"/>
              <w:left w:val="dashSmallGap" w:sz="4" w:space="0" w:color="auto"/>
              <w:bottom w:val="single" w:sz="4" w:space="0" w:color="auto"/>
              <w:right w:val="dashSmallGap" w:sz="4" w:space="0" w:color="auto"/>
            </w:tcBorders>
            <w:shd w:val="clear" w:color="auto" w:fill="FFE599" w:themeFill="accent4" w:themeFillTint="66"/>
          </w:tcPr>
          <w:p w14:paraId="35CB0A63" w14:textId="77777777" w:rsidR="008728B0" w:rsidRPr="00C56007" w:rsidRDefault="008728B0" w:rsidP="00DA6FFC">
            <w:pPr>
              <w:jc w:val="right"/>
              <w:rPr>
                <w:b/>
                <w:sz w:val="21"/>
                <w:szCs w:val="21"/>
                <w:lang w:val="en-US"/>
              </w:rPr>
            </w:pPr>
          </w:p>
        </w:tc>
        <w:tc>
          <w:tcPr>
            <w:tcW w:w="972" w:type="dxa"/>
            <w:tcBorders>
              <w:top w:val="single" w:sz="4" w:space="0" w:color="auto"/>
              <w:left w:val="dashSmallGap" w:sz="4" w:space="0" w:color="auto"/>
              <w:bottom w:val="single" w:sz="4" w:space="0" w:color="auto"/>
              <w:right w:val="dashSmallGap" w:sz="4" w:space="0" w:color="auto"/>
            </w:tcBorders>
            <w:shd w:val="clear" w:color="auto" w:fill="C5E0B3" w:themeFill="accent6" w:themeFillTint="66"/>
          </w:tcPr>
          <w:p w14:paraId="495A5074" w14:textId="77777777" w:rsidR="008728B0" w:rsidRPr="00C56007" w:rsidRDefault="008728B0" w:rsidP="00DA6FFC">
            <w:pPr>
              <w:jc w:val="right"/>
              <w:rPr>
                <w:b/>
                <w:sz w:val="21"/>
                <w:szCs w:val="21"/>
                <w:lang w:val="en-US"/>
              </w:rPr>
            </w:pPr>
            <w:r>
              <w:rPr>
                <w:b/>
                <w:sz w:val="21"/>
                <w:szCs w:val="21"/>
                <w:lang w:val="en-US"/>
              </w:rPr>
              <w:t xml:space="preserve">CP   </w:t>
            </w:r>
            <w:r w:rsidRPr="00BB3CCD">
              <w:rPr>
                <w:sz w:val="21"/>
                <w:szCs w:val="21"/>
                <w:lang w:val="en-US"/>
              </w:rPr>
              <w:t>/</w:t>
            </w:r>
            <w:r>
              <w:rPr>
                <w:b/>
                <w:sz w:val="21"/>
                <w:szCs w:val="21"/>
                <w:lang w:val="en-US"/>
              </w:rPr>
              <w:t xml:space="preserve">   SP</w:t>
            </w:r>
          </w:p>
        </w:tc>
      </w:tr>
    </w:tbl>
    <w:p w14:paraId="69E26B95" w14:textId="77777777" w:rsidR="008728B0" w:rsidRPr="00020231" w:rsidRDefault="008728B0" w:rsidP="008728B0">
      <w:pPr>
        <w:rPr>
          <w:b/>
          <w:sz w:val="21"/>
          <w:szCs w:val="21"/>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479"/>
      </w:tblGrid>
      <w:tr w:rsidR="008728B0" w:rsidRPr="002A428B" w14:paraId="6AE04466" w14:textId="77777777" w:rsidTr="00DA6FFC">
        <w:tc>
          <w:tcPr>
            <w:tcW w:w="454" w:type="dxa"/>
          </w:tcPr>
          <w:p w14:paraId="2E4620FA" w14:textId="77777777" w:rsidR="008728B0" w:rsidRPr="00BF725F" w:rsidRDefault="008728B0" w:rsidP="00DA6FFC">
            <w:pPr>
              <w:rPr>
                <w:sz w:val="21"/>
                <w:szCs w:val="21"/>
                <w:lang w:val="en-US"/>
              </w:rPr>
            </w:pPr>
            <w:r>
              <w:rPr>
                <w:sz w:val="21"/>
                <w:szCs w:val="21"/>
                <w:lang w:val="en-US"/>
              </w:rPr>
              <w:t>PP:</w:t>
            </w:r>
          </w:p>
        </w:tc>
        <w:tc>
          <w:tcPr>
            <w:tcW w:w="14936" w:type="dxa"/>
          </w:tcPr>
          <w:p w14:paraId="536BD53C" w14:textId="77777777" w:rsidR="008728B0" w:rsidRPr="00BF725F" w:rsidRDefault="008728B0" w:rsidP="00DA6FFC">
            <w:pPr>
              <w:rPr>
                <w:sz w:val="21"/>
                <w:szCs w:val="21"/>
                <w:lang w:val="en-US"/>
              </w:rPr>
            </w:pPr>
            <w:r w:rsidRPr="00BF725F">
              <w:rPr>
                <w:sz w:val="21"/>
                <w:szCs w:val="21"/>
                <w:lang w:val="en-US"/>
              </w:rPr>
              <w:t>Present preliminary results at scientific seminars and conferences</w:t>
            </w:r>
            <w:r>
              <w:rPr>
                <w:sz w:val="21"/>
                <w:szCs w:val="21"/>
                <w:lang w:val="en-US"/>
              </w:rPr>
              <w:t>.</w:t>
            </w:r>
          </w:p>
        </w:tc>
      </w:tr>
      <w:tr w:rsidR="008728B0" w:rsidRPr="002A428B" w14:paraId="70F6BE7C" w14:textId="77777777" w:rsidTr="00DA6FFC">
        <w:tc>
          <w:tcPr>
            <w:tcW w:w="454" w:type="dxa"/>
          </w:tcPr>
          <w:p w14:paraId="38ACE295" w14:textId="77777777" w:rsidR="008728B0" w:rsidRPr="00BF725F" w:rsidRDefault="008728B0" w:rsidP="00DA6FFC">
            <w:pPr>
              <w:rPr>
                <w:sz w:val="21"/>
                <w:szCs w:val="21"/>
                <w:lang w:val="en-US"/>
              </w:rPr>
            </w:pPr>
            <w:r>
              <w:rPr>
                <w:sz w:val="21"/>
                <w:szCs w:val="21"/>
                <w:lang w:val="en-US"/>
              </w:rPr>
              <w:t>CP:</w:t>
            </w:r>
          </w:p>
        </w:tc>
        <w:tc>
          <w:tcPr>
            <w:tcW w:w="14936" w:type="dxa"/>
          </w:tcPr>
          <w:p w14:paraId="5B7D4CC3" w14:textId="77777777" w:rsidR="008728B0" w:rsidRPr="00BF725F" w:rsidRDefault="008728B0" w:rsidP="00DA6FFC">
            <w:pPr>
              <w:rPr>
                <w:sz w:val="21"/>
                <w:szCs w:val="21"/>
                <w:lang w:val="en-US"/>
              </w:rPr>
            </w:pPr>
            <w:r w:rsidRPr="00BF725F">
              <w:rPr>
                <w:sz w:val="21"/>
                <w:szCs w:val="21"/>
                <w:lang w:val="en-US"/>
              </w:rPr>
              <w:t>Present consolidated results at scientific seminars and conferences</w:t>
            </w:r>
            <w:r>
              <w:rPr>
                <w:sz w:val="21"/>
                <w:szCs w:val="21"/>
                <w:lang w:val="en-US"/>
              </w:rPr>
              <w:t>.</w:t>
            </w:r>
          </w:p>
        </w:tc>
      </w:tr>
      <w:tr w:rsidR="008728B0" w:rsidRPr="002A428B" w14:paraId="1CC98FA8" w14:textId="77777777" w:rsidTr="00DA6FFC">
        <w:tc>
          <w:tcPr>
            <w:tcW w:w="454" w:type="dxa"/>
          </w:tcPr>
          <w:p w14:paraId="44F69F98" w14:textId="77777777" w:rsidR="008728B0" w:rsidRPr="00BF725F" w:rsidRDefault="008728B0" w:rsidP="00DA6FFC">
            <w:pPr>
              <w:rPr>
                <w:sz w:val="21"/>
                <w:szCs w:val="21"/>
                <w:lang w:val="en-US"/>
              </w:rPr>
            </w:pPr>
            <w:r>
              <w:rPr>
                <w:sz w:val="21"/>
                <w:szCs w:val="21"/>
                <w:lang w:val="en-US"/>
              </w:rPr>
              <w:t>SP:</w:t>
            </w:r>
          </w:p>
        </w:tc>
        <w:tc>
          <w:tcPr>
            <w:tcW w:w="14936" w:type="dxa"/>
          </w:tcPr>
          <w:p w14:paraId="4455707F" w14:textId="77777777" w:rsidR="008728B0" w:rsidRPr="00BF725F" w:rsidRDefault="008728B0" w:rsidP="00DA6FFC">
            <w:pPr>
              <w:rPr>
                <w:sz w:val="21"/>
                <w:szCs w:val="21"/>
                <w:lang w:val="en-US"/>
              </w:rPr>
            </w:pPr>
            <w:r w:rsidRPr="00BF725F">
              <w:rPr>
                <w:sz w:val="21"/>
                <w:szCs w:val="21"/>
                <w:lang w:val="en-US"/>
              </w:rPr>
              <w:t>Prepare paper for scientific publication</w:t>
            </w:r>
            <w:r>
              <w:rPr>
                <w:sz w:val="21"/>
                <w:szCs w:val="21"/>
                <w:lang w:val="en-US"/>
              </w:rPr>
              <w:t>.</w:t>
            </w:r>
          </w:p>
        </w:tc>
      </w:tr>
    </w:tbl>
    <w:p w14:paraId="6AC95288" w14:textId="77777777" w:rsidR="008728B0" w:rsidRPr="008728B0" w:rsidRDefault="008728B0" w:rsidP="008728B0">
      <w:pPr>
        <w:widowControl w:val="0"/>
        <w:autoSpaceDE w:val="0"/>
        <w:autoSpaceDN w:val="0"/>
        <w:adjustRightInd w:val="0"/>
        <w:spacing w:after="120" w:line="276" w:lineRule="auto"/>
        <w:rPr>
          <w:rFonts w:ascii="Times New Roman" w:hAnsi="Times New Roman" w:cs="Times New Roman"/>
          <w:color w:val="000000"/>
          <w:lang w:val="en-GB"/>
        </w:rPr>
      </w:pPr>
    </w:p>
    <w:sectPr w:rsidR="008728B0" w:rsidRPr="008728B0" w:rsidSect="00011EF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521C0"/>
    <w:multiLevelType w:val="hybridMultilevel"/>
    <w:tmpl w:val="0ED6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EB"/>
    <w:rsid w:val="0001325C"/>
    <w:rsid w:val="00051578"/>
    <w:rsid w:val="00054792"/>
    <w:rsid w:val="000869B4"/>
    <w:rsid w:val="000A04FA"/>
    <w:rsid w:val="000A4D93"/>
    <w:rsid w:val="000B54FF"/>
    <w:rsid w:val="000C1B9F"/>
    <w:rsid w:val="000C6605"/>
    <w:rsid w:val="000D7970"/>
    <w:rsid w:val="000E460C"/>
    <w:rsid w:val="000F18A2"/>
    <w:rsid w:val="00113C7E"/>
    <w:rsid w:val="00150B25"/>
    <w:rsid w:val="00160300"/>
    <w:rsid w:val="00164E43"/>
    <w:rsid w:val="001655CE"/>
    <w:rsid w:val="001664EB"/>
    <w:rsid w:val="0017693E"/>
    <w:rsid w:val="00192C51"/>
    <w:rsid w:val="001B6DFA"/>
    <w:rsid w:val="001D08EE"/>
    <w:rsid w:val="001D2807"/>
    <w:rsid w:val="00222122"/>
    <w:rsid w:val="00224C97"/>
    <w:rsid w:val="002360D0"/>
    <w:rsid w:val="002427B7"/>
    <w:rsid w:val="002462D7"/>
    <w:rsid w:val="0026109C"/>
    <w:rsid w:val="00264D24"/>
    <w:rsid w:val="00287329"/>
    <w:rsid w:val="00294BE0"/>
    <w:rsid w:val="00294D4C"/>
    <w:rsid w:val="002A428B"/>
    <w:rsid w:val="002B36DC"/>
    <w:rsid w:val="002D266F"/>
    <w:rsid w:val="002D5C32"/>
    <w:rsid w:val="0031145E"/>
    <w:rsid w:val="00325281"/>
    <w:rsid w:val="00326F3C"/>
    <w:rsid w:val="00343D1F"/>
    <w:rsid w:val="00350437"/>
    <w:rsid w:val="003628D6"/>
    <w:rsid w:val="00391C41"/>
    <w:rsid w:val="003B01D7"/>
    <w:rsid w:val="003D5AAF"/>
    <w:rsid w:val="003D64BE"/>
    <w:rsid w:val="0040178C"/>
    <w:rsid w:val="00415B1D"/>
    <w:rsid w:val="00421C52"/>
    <w:rsid w:val="00444BDC"/>
    <w:rsid w:val="0045748E"/>
    <w:rsid w:val="00457706"/>
    <w:rsid w:val="0048693D"/>
    <w:rsid w:val="004E2BE1"/>
    <w:rsid w:val="004E6720"/>
    <w:rsid w:val="005072BD"/>
    <w:rsid w:val="00531C5B"/>
    <w:rsid w:val="005460A6"/>
    <w:rsid w:val="00550040"/>
    <w:rsid w:val="005A2499"/>
    <w:rsid w:val="005B1413"/>
    <w:rsid w:val="005C52C7"/>
    <w:rsid w:val="005C7038"/>
    <w:rsid w:val="005E091C"/>
    <w:rsid w:val="005F567B"/>
    <w:rsid w:val="005F5914"/>
    <w:rsid w:val="006120ED"/>
    <w:rsid w:val="0061541A"/>
    <w:rsid w:val="006304F5"/>
    <w:rsid w:val="0063071E"/>
    <w:rsid w:val="00676319"/>
    <w:rsid w:val="006C2367"/>
    <w:rsid w:val="0070402D"/>
    <w:rsid w:val="00707C22"/>
    <w:rsid w:val="00707C79"/>
    <w:rsid w:val="00740C33"/>
    <w:rsid w:val="00740D2D"/>
    <w:rsid w:val="00741F87"/>
    <w:rsid w:val="00746200"/>
    <w:rsid w:val="00772BB8"/>
    <w:rsid w:val="00785DCD"/>
    <w:rsid w:val="007904B9"/>
    <w:rsid w:val="00792A2A"/>
    <w:rsid w:val="007C267D"/>
    <w:rsid w:val="007D29B3"/>
    <w:rsid w:val="0084065A"/>
    <w:rsid w:val="00853F39"/>
    <w:rsid w:val="008728B0"/>
    <w:rsid w:val="00874627"/>
    <w:rsid w:val="00892FB0"/>
    <w:rsid w:val="008A4CE3"/>
    <w:rsid w:val="008C4AEB"/>
    <w:rsid w:val="00934332"/>
    <w:rsid w:val="00935AD4"/>
    <w:rsid w:val="0094232F"/>
    <w:rsid w:val="00955113"/>
    <w:rsid w:val="00955991"/>
    <w:rsid w:val="00956709"/>
    <w:rsid w:val="00966DA9"/>
    <w:rsid w:val="00967890"/>
    <w:rsid w:val="00976DAA"/>
    <w:rsid w:val="00993528"/>
    <w:rsid w:val="009C42AF"/>
    <w:rsid w:val="009E4147"/>
    <w:rsid w:val="00A1051D"/>
    <w:rsid w:val="00A21144"/>
    <w:rsid w:val="00A30E8D"/>
    <w:rsid w:val="00A35F72"/>
    <w:rsid w:val="00A56965"/>
    <w:rsid w:val="00A863DB"/>
    <w:rsid w:val="00A95DA0"/>
    <w:rsid w:val="00AA50A8"/>
    <w:rsid w:val="00AB510A"/>
    <w:rsid w:val="00AE2C46"/>
    <w:rsid w:val="00AF18E5"/>
    <w:rsid w:val="00B446D9"/>
    <w:rsid w:val="00B647F3"/>
    <w:rsid w:val="00B65631"/>
    <w:rsid w:val="00BA1808"/>
    <w:rsid w:val="00BC555E"/>
    <w:rsid w:val="00BE7B14"/>
    <w:rsid w:val="00C02584"/>
    <w:rsid w:val="00C633C4"/>
    <w:rsid w:val="00C76AE0"/>
    <w:rsid w:val="00C83BEE"/>
    <w:rsid w:val="00C856F3"/>
    <w:rsid w:val="00C875DE"/>
    <w:rsid w:val="00CD13F0"/>
    <w:rsid w:val="00CD325A"/>
    <w:rsid w:val="00D17A02"/>
    <w:rsid w:val="00D2759D"/>
    <w:rsid w:val="00D36280"/>
    <w:rsid w:val="00D44349"/>
    <w:rsid w:val="00D446CB"/>
    <w:rsid w:val="00D468DC"/>
    <w:rsid w:val="00D50DD0"/>
    <w:rsid w:val="00D542FA"/>
    <w:rsid w:val="00D6439D"/>
    <w:rsid w:val="00D97E43"/>
    <w:rsid w:val="00DB665C"/>
    <w:rsid w:val="00DD7F0B"/>
    <w:rsid w:val="00DE4F0A"/>
    <w:rsid w:val="00DF099C"/>
    <w:rsid w:val="00E221BF"/>
    <w:rsid w:val="00E44D1E"/>
    <w:rsid w:val="00E6518A"/>
    <w:rsid w:val="00EE6B37"/>
    <w:rsid w:val="00F211EB"/>
    <w:rsid w:val="00F35DE4"/>
    <w:rsid w:val="00F3752A"/>
    <w:rsid w:val="00F64A7F"/>
    <w:rsid w:val="00F72476"/>
    <w:rsid w:val="00F85316"/>
    <w:rsid w:val="00F96B5B"/>
    <w:rsid w:val="00FC0406"/>
    <w:rsid w:val="00FF36D5"/>
    <w:rsid w:val="00FF47F5"/>
    <w:rsid w:val="00FF5DBC"/>
    <w:rsid w:val="00FF6410"/>
    <w:rsid w:val="00FF6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A7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DAA"/>
    <w:pPr>
      <w:ind w:left="720"/>
      <w:contextualSpacing/>
    </w:pPr>
  </w:style>
  <w:style w:type="table" w:styleId="Grigliatabella">
    <w:name w:val="Table Grid"/>
    <w:basedOn w:val="Tabellanormale"/>
    <w:uiPriority w:val="39"/>
    <w:rsid w:val="0087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Simone Ferriani</cp:lastModifiedBy>
  <cp:revision>170</cp:revision>
  <dcterms:created xsi:type="dcterms:W3CDTF">2017-02-21T08:09:00Z</dcterms:created>
  <dcterms:modified xsi:type="dcterms:W3CDTF">2020-06-07T10:05:00Z</dcterms:modified>
</cp:coreProperties>
</file>